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Times New Roman"/>
          <w:sz w:val="40"/>
          <w:szCs w:val="40"/>
        </w:rPr>
      </w:pPr>
      <w:r>
        <w:rPr>
          <w:rFonts w:hint="eastAsia" w:ascii="方正小标宋简体" w:hAnsi="黑体" w:eastAsia="方正小标宋简体" w:cs="Times New Roman"/>
          <w:sz w:val="40"/>
          <w:szCs w:val="40"/>
        </w:rPr>
        <w:t>舟山市水路货运企业和船舶重点监管名单</w:t>
      </w:r>
    </w:p>
    <w:p>
      <w:pPr>
        <w:spacing w:line="600" w:lineRule="exact"/>
        <w:jc w:val="center"/>
        <w:rPr>
          <w:rFonts w:ascii="方正小标宋简体" w:hAnsi="黑体" w:eastAsia="方正小标宋简体" w:cs="Times New Roman"/>
          <w:sz w:val="40"/>
          <w:szCs w:val="40"/>
        </w:rPr>
      </w:pPr>
      <w:r>
        <w:rPr>
          <w:rFonts w:hint="eastAsia" w:ascii="方正小标宋简体" w:hAnsi="黑体" w:eastAsia="方正小标宋简体" w:cs="Times New Roman"/>
          <w:sz w:val="40"/>
          <w:szCs w:val="40"/>
        </w:rPr>
        <w:t>管理办法（</w:t>
      </w:r>
      <w:r>
        <w:rPr>
          <w:rFonts w:hint="eastAsia" w:ascii="方正小标宋简体" w:hAnsi="黑体" w:eastAsia="方正小标宋简体" w:cs="Times New Roman"/>
          <w:sz w:val="40"/>
          <w:szCs w:val="40"/>
          <w:lang w:val="en-US" w:eastAsia="zh-CN"/>
        </w:rPr>
        <w:t>征求意见稿</w:t>
      </w:r>
      <w:r>
        <w:rPr>
          <w:rFonts w:hint="eastAsia" w:ascii="方正小标宋简体" w:hAnsi="黑体" w:eastAsia="方正小标宋简体" w:cs="Times New Roman"/>
          <w:sz w:val="40"/>
          <w:szCs w:val="40"/>
        </w:rPr>
        <w:t>）</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第一条  </w:t>
      </w:r>
      <w:r>
        <w:rPr>
          <w:rFonts w:hint="eastAsia" w:ascii="仿宋_GB2312" w:eastAsia="仿宋_GB2312"/>
          <w:sz w:val="32"/>
          <w:szCs w:val="32"/>
        </w:rPr>
        <w:t>为“控总量、减存量、提质量”，遏制海上交通事故多发态势，促进航运业高质量健康发展，</w:t>
      </w:r>
      <w:r>
        <w:rPr>
          <w:rFonts w:hint="eastAsia" w:ascii="仿宋_GB2312" w:eastAsia="仿宋_GB2312"/>
          <w:color w:val="000000" w:themeColor="text1"/>
          <w:sz w:val="32"/>
          <w:szCs w:val="32"/>
          <w14:textFill>
            <w14:solidFill>
              <w14:schemeClr w14:val="tx1"/>
            </w14:solidFill>
          </w14:textFill>
        </w:rPr>
        <w:t>根据《中华人民共和国海上交通安全法》</w:t>
      </w:r>
      <w:r>
        <w:rPr>
          <w:rFonts w:hint="eastAsia" w:ascii="仿宋_GB2312" w:hAnsi="黑体" w:eastAsia="仿宋_GB2312"/>
          <w:color w:val="000000" w:themeColor="text1"/>
          <w:sz w:val="32"/>
          <w:szCs w:val="32"/>
          <w14:textFill>
            <w14:solidFill>
              <w14:schemeClr w14:val="tx1"/>
            </w14:solidFill>
          </w14:textFill>
        </w:rPr>
        <w:t>《交通运输安全生产重点监管名单管理规定》《浙江省交通运输安全生产重点监管名单管理规定（试行）》等有关规定，结合我市实际，制定</w:t>
      </w:r>
      <w:r>
        <w:rPr>
          <w:rFonts w:hint="eastAsia" w:ascii="仿宋_GB2312" w:eastAsia="仿宋_GB2312"/>
          <w:color w:val="000000" w:themeColor="text1"/>
          <w:sz w:val="32"/>
          <w:szCs w:val="32"/>
          <w14:textFill>
            <w14:solidFill>
              <w14:schemeClr w14:val="tx1"/>
            </w14:solidFill>
          </w14:textFill>
        </w:rPr>
        <w:t>本办法。</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第二条</w:t>
      </w:r>
      <w:r>
        <w:rPr>
          <w:rFonts w:hint="eastAsia" w:ascii="仿宋_GB2312" w:hAnsi="黑体" w:eastAsia="仿宋_GB2312"/>
          <w:color w:val="000000" w:themeColor="text1"/>
          <w:sz w:val="32"/>
          <w:szCs w:val="32"/>
          <w14:textFill>
            <w14:solidFill>
              <w14:schemeClr w14:val="tx1"/>
            </w14:solidFill>
          </w14:textFill>
        </w:rPr>
        <w:t xml:space="preserve">  我市国内水路货运企业有下列</w:t>
      </w:r>
      <w:bookmarkStart w:id="0" w:name="_GoBack"/>
      <w:bookmarkEnd w:id="0"/>
      <w:r>
        <w:rPr>
          <w:rFonts w:hint="eastAsia" w:ascii="仿宋_GB2312" w:hAnsi="黑体" w:eastAsia="仿宋_GB2312"/>
          <w:color w:val="000000" w:themeColor="text1"/>
          <w:sz w:val="32"/>
          <w:szCs w:val="32"/>
          <w14:textFill>
            <w14:solidFill>
              <w14:schemeClr w14:val="tx1"/>
            </w14:solidFill>
          </w14:textFill>
        </w:rPr>
        <w:t>情形之一的，原则上应列入重点监管企业名单：</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（一）被列入交通运输安全生产重点监管名单的；</w:t>
      </w:r>
      <w:r>
        <w:rPr>
          <w:rFonts w:ascii="仿宋_GB2312" w:hAnsi="黑体" w:eastAsia="仿宋_GB2312"/>
          <w:color w:val="000000" w:themeColor="text1"/>
          <w:sz w:val="32"/>
          <w:szCs w:val="32"/>
          <w14:textFill>
            <w14:solidFill>
              <w14:schemeClr w14:val="tx1"/>
            </w14:solidFill>
          </w14:textFill>
        </w:rPr>
        <w:t xml:space="preserve"> </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（二）海事管理机构</w:t>
      </w:r>
      <w:r>
        <w:rPr>
          <w:rFonts w:ascii="仿宋_GB2312" w:hAnsi="黑体" w:eastAsia="仿宋_GB2312"/>
          <w:color w:val="000000" w:themeColor="text1"/>
          <w:sz w:val="32"/>
          <w:szCs w:val="32"/>
          <w14:textFill>
            <w14:solidFill>
              <w14:schemeClr w14:val="tx1"/>
            </w14:solidFill>
          </w14:textFill>
        </w:rPr>
        <w:t>安全管理体系审核中被实施跟踪</w:t>
      </w:r>
      <w:r>
        <w:rPr>
          <w:rFonts w:hint="eastAsia" w:ascii="仿宋_GB2312" w:hAnsi="黑体" w:eastAsia="仿宋_GB2312"/>
          <w:color w:val="000000" w:themeColor="text1"/>
          <w:sz w:val="32"/>
          <w:szCs w:val="32"/>
          <w14:textFill>
            <w14:solidFill>
              <w14:schemeClr w14:val="tx1"/>
            </w14:solidFill>
          </w14:textFill>
        </w:rPr>
        <w:t>审核或</w:t>
      </w:r>
      <w:r>
        <w:rPr>
          <w:rFonts w:ascii="仿宋_GB2312" w:hAnsi="黑体" w:eastAsia="仿宋_GB2312"/>
          <w:color w:val="000000" w:themeColor="text1"/>
          <w:sz w:val="32"/>
          <w:szCs w:val="32"/>
          <w14:textFill>
            <w14:solidFill>
              <w14:schemeClr w14:val="tx1"/>
            </w14:solidFill>
          </w14:textFill>
        </w:rPr>
        <w:t>审核不通过，以及所属船舶未按要求实施安全</w:t>
      </w:r>
      <w:r>
        <w:rPr>
          <w:rFonts w:hint="eastAsia" w:ascii="仿宋_GB2312" w:hAnsi="黑体" w:eastAsia="仿宋_GB2312"/>
          <w:color w:val="000000" w:themeColor="text1"/>
          <w:sz w:val="32"/>
          <w:szCs w:val="32"/>
          <w14:textFill>
            <w14:solidFill>
              <w14:schemeClr w14:val="tx1"/>
            </w14:solidFill>
          </w14:textFill>
        </w:rPr>
        <w:t>管理体系</w:t>
      </w:r>
      <w:r>
        <w:rPr>
          <w:rFonts w:ascii="仿宋_GB2312" w:hAnsi="黑体" w:eastAsia="仿宋_GB2312"/>
          <w:color w:val="000000" w:themeColor="text1"/>
          <w:sz w:val="32"/>
          <w:szCs w:val="32"/>
          <w14:textFill>
            <w14:solidFill>
              <w14:schemeClr w14:val="tx1"/>
            </w14:solidFill>
          </w14:textFill>
        </w:rPr>
        <w:t>或</w:t>
      </w:r>
      <w:r>
        <w:rPr>
          <w:rFonts w:hint="eastAsia" w:ascii="仿宋_GB2312" w:hAnsi="黑体" w:eastAsia="仿宋_GB2312"/>
          <w:color w:val="000000" w:themeColor="text1"/>
          <w:sz w:val="32"/>
          <w:szCs w:val="32"/>
          <w14:textFill>
            <w14:solidFill>
              <w14:schemeClr w14:val="tx1"/>
            </w14:solidFill>
          </w14:textFill>
        </w:rPr>
        <w:t>被列入海事重点跟踪航运公司的；</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三</w:t>
      </w:r>
      <w:r>
        <w:rPr>
          <w:rFonts w:ascii="仿宋_GB2312" w:hAnsi="黑体" w:eastAsia="仿宋_GB2312"/>
          <w:color w:val="000000" w:themeColor="text1"/>
          <w:sz w:val="32"/>
          <w:szCs w:val="32"/>
          <w14:textFill>
            <w14:solidFill>
              <w14:schemeClr w14:val="tx1"/>
            </w14:solidFill>
          </w14:textFill>
        </w:rPr>
        <w:t>）所属船舶存在逃避海事监管情形，经督促未按规定期限整改的</w:t>
      </w:r>
      <w:r>
        <w:rPr>
          <w:rFonts w:hint="eastAsia" w:ascii="仿宋_GB2312" w:hAnsi="黑体"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（四）所属</w:t>
      </w:r>
      <w:r>
        <w:rPr>
          <w:rFonts w:ascii="仿宋_GB2312" w:hAnsi="黑体" w:eastAsia="仿宋_GB2312"/>
          <w:color w:val="000000" w:themeColor="text1"/>
          <w:sz w:val="32"/>
          <w:szCs w:val="32"/>
          <w14:textFill>
            <w14:solidFill>
              <w14:schemeClr w14:val="tx1"/>
            </w14:solidFill>
          </w14:textFill>
        </w:rPr>
        <w:t>船舶</w:t>
      </w:r>
      <w:r>
        <w:rPr>
          <w:rFonts w:hint="eastAsia" w:ascii="仿宋_GB2312" w:hAnsi="黑体" w:eastAsia="仿宋_GB2312"/>
          <w:color w:val="000000" w:themeColor="text1"/>
          <w:sz w:val="32"/>
          <w:szCs w:val="32"/>
          <w14:textFill>
            <w14:solidFill>
              <w14:schemeClr w14:val="tx1"/>
            </w14:solidFill>
          </w14:textFill>
        </w:rPr>
        <w:t>发生重大事故，或一年内连续发生</w:t>
      </w:r>
      <w:r>
        <w:rPr>
          <w:rFonts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次导致人员死亡</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失踪</w:t>
      </w: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的事故，或一年内</w:t>
      </w:r>
      <w:r>
        <w:rPr>
          <w:rFonts w:ascii="仿宋_GB2312" w:hAnsi="黑体" w:eastAsia="仿宋_GB2312"/>
          <w:color w:val="000000" w:themeColor="text1"/>
          <w:sz w:val="32"/>
          <w:szCs w:val="32"/>
          <w14:textFill>
            <w14:solidFill>
              <w14:schemeClr w14:val="tx1"/>
            </w14:solidFill>
          </w14:textFill>
        </w:rPr>
        <w:t>3次及以上发生海事安检滞留</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严重违章</w:t>
      </w:r>
      <w:r>
        <w:rPr>
          <w:rFonts w:hint="eastAsia" w:ascii="仿宋_GB2312" w:hAnsi="黑体" w:eastAsia="仿宋_GB2312"/>
          <w:color w:val="000000" w:themeColor="text1"/>
          <w:sz w:val="32"/>
          <w:szCs w:val="32"/>
          <w14:textFill>
            <w14:solidFill>
              <w14:schemeClr w14:val="tx1"/>
            </w14:solidFill>
          </w14:textFill>
        </w:rPr>
        <w:t>或</w:t>
      </w:r>
      <w:r>
        <w:rPr>
          <w:rFonts w:ascii="仿宋_GB2312" w:hAnsi="黑体" w:eastAsia="仿宋_GB2312"/>
          <w:color w:val="000000" w:themeColor="text1"/>
          <w:sz w:val="32"/>
          <w:szCs w:val="32"/>
          <w14:textFill>
            <w14:solidFill>
              <w14:schemeClr w14:val="tx1"/>
            </w14:solidFill>
          </w14:textFill>
        </w:rPr>
        <w:t>事故险情</w:t>
      </w:r>
      <w:r>
        <w:rPr>
          <w:rFonts w:hint="eastAsia" w:ascii="仿宋_GB2312" w:hAnsi="黑体" w:eastAsia="仿宋_GB2312"/>
          <w:color w:val="000000" w:themeColor="text1"/>
          <w:sz w:val="32"/>
          <w:szCs w:val="32"/>
          <w14:textFill>
            <w14:solidFill>
              <w14:schemeClr w14:val="tx1"/>
            </w14:solidFill>
          </w14:textFill>
        </w:rPr>
        <w:t>等情形的；</w:t>
      </w:r>
      <w:r>
        <w:rPr>
          <w:rFonts w:ascii="仿宋_GB2312" w:hAnsi="黑体" w:eastAsia="仿宋_GB2312"/>
          <w:color w:val="000000" w:themeColor="text1"/>
          <w:sz w:val="32"/>
          <w:szCs w:val="32"/>
          <w14:textFill>
            <w14:solidFill>
              <w14:schemeClr w14:val="tx1"/>
            </w14:solidFill>
          </w14:textFill>
        </w:rPr>
        <w:t xml:space="preserve"> </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（五）不符合国内水路运输经营资质条件的（自有船舶运力标准除外）；</w:t>
      </w:r>
    </w:p>
    <w:p>
      <w:pPr>
        <w:spacing w:line="600" w:lineRule="exact"/>
        <w:ind w:firstLine="640" w:firstLineChars="200"/>
        <w:rPr>
          <w:rFonts w:ascii="仿宋_GB2312" w:hAnsi="Calibri" w:eastAsia="仿宋_GB2312" w:cs="Times New Roman"/>
          <w:color w:val="000000"/>
          <w:sz w:val="32"/>
          <w:szCs w:val="32"/>
        </w:rPr>
      </w:pPr>
      <w:r>
        <w:rPr>
          <w:rFonts w:hint="eastAsia" w:ascii="仿宋_GB2312" w:hAnsi="黑体" w:eastAsia="仿宋_GB2312"/>
          <w:color w:val="000000" w:themeColor="text1"/>
          <w:sz w:val="32"/>
          <w:szCs w:val="32"/>
          <w14:textFill>
            <w14:solidFill>
              <w14:schemeClr w14:val="tx1"/>
            </w14:solidFill>
          </w14:textFill>
        </w:rPr>
        <w:t>（六）</w:t>
      </w:r>
      <w:r>
        <w:rPr>
          <w:rFonts w:hint="eastAsia" w:ascii="仿宋_GB2312" w:hAnsi="Calibri" w:eastAsia="仿宋_GB2312" w:cs="Times New Roman"/>
          <w:color w:val="000000"/>
          <w:sz w:val="32"/>
          <w:szCs w:val="32"/>
        </w:rPr>
        <w:t>安全与防污染管理体系委托市外船舶管理企业代管，或自建体系但所属船舶仍委托其他公司代管的；</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（七）自卸砂船、运砂运石运泥船、装载砂石的甲板货船等砂石类运输货船占企业经营船舶半数以上的；以及1000总吨以下小型货船、老旧运输货船、单壳散装液体危险品船数量较多且安全管理水平较低的；</w:t>
      </w:r>
    </w:p>
    <w:p>
      <w:pPr>
        <w:numPr>
          <w:ilvl w:val="0"/>
          <w:numId w:val="1"/>
        </w:numPr>
        <w:spacing w:line="600" w:lineRule="exact"/>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其它有必要列入的。</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第三条</w:t>
      </w:r>
      <w:r>
        <w:rPr>
          <w:rFonts w:hint="eastAsia" w:ascii="仿宋_GB2312" w:hAnsi="黑体" w:eastAsia="仿宋_GB2312"/>
          <w:color w:val="000000" w:themeColor="text1"/>
          <w:sz w:val="32"/>
          <w:szCs w:val="32"/>
          <w14:textFill>
            <w14:solidFill>
              <w14:schemeClr w14:val="tx1"/>
            </w14:solidFill>
          </w14:textFill>
        </w:rPr>
        <w:t xml:space="preserve">  我市国内水路货运船舶有下列情形之一的，原则上应列入重点监管船舶名单：</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（一）被列入交通运输安全生产重点监管名单的；</w:t>
      </w:r>
      <w:r>
        <w:rPr>
          <w:rFonts w:ascii="仿宋_GB2312" w:hAnsi="黑体" w:eastAsia="仿宋_GB2312"/>
          <w:color w:val="000000" w:themeColor="text1"/>
          <w:sz w:val="32"/>
          <w:szCs w:val="32"/>
          <w14:textFill>
            <w14:solidFill>
              <w14:schemeClr w14:val="tx1"/>
            </w14:solidFill>
          </w14:textFill>
        </w:rPr>
        <w:t xml:space="preserve"> </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（二）海事机构</w:t>
      </w:r>
      <w:r>
        <w:rPr>
          <w:rFonts w:ascii="仿宋_GB2312" w:hAnsi="黑体" w:eastAsia="仿宋_GB2312"/>
          <w:color w:val="000000" w:themeColor="text1"/>
          <w:sz w:val="32"/>
          <w:szCs w:val="32"/>
          <w14:textFill>
            <w14:solidFill>
              <w14:schemeClr w14:val="tx1"/>
            </w14:solidFill>
          </w14:textFill>
        </w:rPr>
        <w:t>安全管理体系审核不通过</w:t>
      </w:r>
      <w:r>
        <w:rPr>
          <w:rFonts w:hint="eastAsia" w:ascii="仿宋_GB2312" w:hAnsi="黑体" w:eastAsia="仿宋_GB2312"/>
          <w:color w:val="000000" w:themeColor="text1"/>
          <w:sz w:val="32"/>
          <w:szCs w:val="32"/>
          <w14:textFill>
            <w14:solidFill>
              <w14:schemeClr w14:val="tx1"/>
            </w14:solidFill>
          </w14:textFill>
        </w:rPr>
        <w:t>或</w:t>
      </w:r>
      <w:r>
        <w:rPr>
          <w:rFonts w:ascii="仿宋_GB2312" w:hAnsi="黑体" w:eastAsia="仿宋_GB2312"/>
          <w:color w:val="000000" w:themeColor="text1"/>
          <w:sz w:val="32"/>
          <w:szCs w:val="32"/>
          <w14:textFill>
            <w14:solidFill>
              <w14:schemeClr w14:val="tx1"/>
            </w14:solidFill>
          </w14:textFill>
        </w:rPr>
        <w:t>未按要求实施安全</w:t>
      </w:r>
      <w:r>
        <w:rPr>
          <w:rFonts w:hint="eastAsia" w:ascii="仿宋_GB2312" w:hAnsi="黑体" w:eastAsia="仿宋_GB2312"/>
          <w:color w:val="000000" w:themeColor="text1"/>
          <w:sz w:val="32"/>
          <w:szCs w:val="32"/>
          <w14:textFill>
            <w14:solidFill>
              <w14:schemeClr w14:val="tx1"/>
            </w14:solidFill>
          </w14:textFill>
        </w:rPr>
        <w:t>管理体系，</w:t>
      </w:r>
      <w:r>
        <w:rPr>
          <w:rFonts w:ascii="仿宋_GB2312" w:hAnsi="黑体" w:eastAsia="仿宋_GB2312"/>
          <w:color w:val="000000" w:themeColor="text1"/>
          <w:sz w:val="32"/>
          <w:szCs w:val="32"/>
          <w14:textFill>
            <w14:solidFill>
              <w14:schemeClr w14:val="tx1"/>
            </w14:solidFill>
          </w14:textFill>
        </w:rPr>
        <w:t>以及</w:t>
      </w:r>
      <w:r>
        <w:rPr>
          <w:rFonts w:hint="eastAsia" w:ascii="仿宋_GB2312" w:hAnsi="黑体" w:eastAsia="仿宋_GB2312"/>
          <w:color w:val="000000" w:themeColor="text1"/>
          <w:sz w:val="32"/>
          <w:szCs w:val="32"/>
          <w14:textFill>
            <w14:solidFill>
              <w14:schemeClr w14:val="tx1"/>
            </w14:solidFill>
          </w14:textFill>
        </w:rPr>
        <w:t>被列入海事重点跟踪船舶</w:t>
      </w:r>
      <w:r>
        <w:rPr>
          <w:rFonts w:ascii="仿宋_GB2312" w:hAnsi="黑体" w:eastAsia="仿宋_GB2312"/>
          <w:color w:val="000000" w:themeColor="text1"/>
          <w:sz w:val="32"/>
          <w:szCs w:val="32"/>
          <w14:textFill>
            <w14:solidFill>
              <w14:schemeClr w14:val="tx1"/>
            </w14:solidFill>
          </w14:textFill>
        </w:rPr>
        <w:t>的</w:t>
      </w:r>
      <w:r>
        <w:rPr>
          <w:rFonts w:hint="eastAsia" w:ascii="仿宋_GB2312" w:hAnsi="黑体"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三</w:t>
      </w:r>
      <w:r>
        <w:rPr>
          <w:rFonts w:ascii="仿宋_GB2312" w:hAnsi="黑体" w:eastAsia="仿宋_GB2312"/>
          <w:color w:val="000000" w:themeColor="text1"/>
          <w:sz w:val="32"/>
          <w:szCs w:val="32"/>
          <w14:textFill>
            <w14:solidFill>
              <w14:schemeClr w14:val="tx1"/>
            </w14:solidFill>
          </w14:textFill>
        </w:rPr>
        <w:t>）存在逃避海事监管情形，经督促未按规定期限</w:t>
      </w:r>
      <w:r>
        <w:rPr>
          <w:rFonts w:hint="eastAsia" w:ascii="仿宋_GB2312" w:hAnsi="黑体" w:eastAsia="仿宋_GB2312"/>
          <w:color w:val="000000" w:themeColor="text1"/>
          <w:sz w:val="32"/>
          <w:szCs w:val="32"/>
          <w14:textFill>
            <w14:solidFill>
              <w14:schemeClr w14:val="tx1"/>
            </w14:solidFill>
          </w14:textFill>
        </w:rPr>
        <w:t>完成</w:t>
      </w:r>
      <w:r>
        <w:rPr>
          <w:rFonts w:ascii="仿宋_GB2312" w:hAnsi="黑体" w:eastAsia="仿宋_GB2312"/>
          <w:color w:val="000000" w:themeColor="text1"/>
          <w:sz w:val="32"/>
          <w:szCs w:val="32"/>
          <w14:textFill>
            <w14:solidFill>
              <w14:schemeClr w14:val="tx1"/>
            </w14:solidFill>
          </w14:textFill>
        </w:rPr>
        <w:t>整改的</w:t>
      </w:r>
      <w:r>
        <w:rPr>
          <w:rFonts w:hint="eastAsia" w:ascii="仿宋_GB2312" w:hAnsi="黑体"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（四）不满足国内水路运输船舶营运条件的；</w:t>
      </w:r>
    </w:p>
    <w:p>
      <w:pPr>
        <w:spacing w:line="600" w:lineRule="exact"/>
        <w:ind w:firstLine="640" w:firstLineChars="200"/>
        <w:rPr>
          <w:rFonts w:ascii="仿宋_GB2312" w:hAnsi="黑体" w:eastAsia="仿宋_GB2312"/>
          <w:color w:val="000000" w:themeColor="text1"/>
          <w:sz w:val="32"/>
          <w:szCs w:val="32"/>
          <w:highlight w:val="yellow"/>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安全与防污染管理体系委托市外船舶管理企业代管的货船，或所属经营公司</w:t>
      </w:r>
      <w:r>
        <w:rPr>
          <w:rFonts w:hint="eastAsia" w:ascii="仿宋_GB2312" w:hAnsi="Calibri" w:eastAsia="仿宋_GB2312" w:cs="Times New Roman"/>
          <w:color w:val="000000"/>
          <w:sz w:val="32"/>
          <w:szCs w:val="32"/>
        </w:rPr>
        <w:t>自建体系但仍委托其他公司代管的货船</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（六）自卸砂船、运砂运石</w:t>
      </w:r>
      <w:r>
        <w:rPr>
          <w:rFonts w:hint="eastAsia" w:ascii="仿宋_GB2312" w:eastAsia="仿宋_GB2312"/>
          <w:color w:val="000000" w:themeColor="text1"/>
          <w:sz w:val="32"/>
          <w:szCs w:val="32"/>
          <w14:textFill>
            <w14:solidFill>
              <w14:schemeClr w14:val="tx1"/>
            </w14:solidFill>
          </w14:textFill>
        </w:rPr>
        <w:t>运泥船、装载砂石的甲板货船等砂石类运输货船；以及1000总吨以下小型货船、老旧运输货船、单壳散装液体危险品船且安全管理水平较低的；</w:t>
      </w:r>
      <w:r>
        <w:rPr>
          <w:rFonts w:ascii="仿宋_GB2312" w:eastAsia="仿宋_GB2312"/>
          <w:color w:val="000000" w:themeColor="text1"/>
          <w:sz w:val="32"/>
          <w:szCs w:val="32"/>
          <w14:textFill>
            <w14:solidFill>
              <w14:schemeClr w14:val="tx1"/>
            </w14:solidFill>
          </w14:textFill>
        </w:rPr>
        <w:t xml:space="preserve"> </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（七）其他有必要列入的。</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第四条</w:t>
      </w: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各县（区）、功能区水上交通安全专业委员会（以下简称“各县（区）专委会”）负责</w:t>
      </w:r>
      <w:r>
        <w:rPr>
          <w:rFonts w:hint="eastAsia" w:ascii="仿宋_GB2312" w:hAnsi="黑体" w:eastAsia="仿宋_GB2312"/>
          <w:color w:val="000000" w:themeColor="text1"/>
          <w:sz w:val="32"/>
          <w:szCs w:val="32"/>
          <w14:textFill>
            <w14:solidFill>
              <w14:schemeClr w14:val="tx1"/>
            </w14:solidFill>
          </w14:textFill>
        </w:rPr>
        <w:t>辖</w:t>
      </w:r>
      <w:r>
        <w:rPr>
          <w:rFonts w:hint="eastAsia" w:ascii="仿宋_GB2312" w:hAnsi="黑体" w:eastAsia="仿宋_GB2312"/>
          <w:sz w:val="32"/>
          <w:szCs w:val="32"/>
        </w:rPr>
        <w:t>区国内水</w:t>
      </w:r>
      <w:r>
        <w:rPr>
          <w:rFonts w:hint="eastAsia" w:ascii="仿宋_GB2312" w:hAnsi="黑体" w:eastAsia="仿宋_GB2312"/>
          <w:color w:val="000000" w:themeColor="text1"/>
          <w:sz w:val="32"/>
          <w:szCs w:val="32"/>
          <w14:textFill>
            <w14:solidFill>
              <w14:schemeClr w14:val="tx1"/>
            </w14:solidFill>
          </w14:textFill>
        </w:rPr>
        <w:t>路货运重点监管企业和船舶名单的列入、移除等工作，每半年将名单对外公布，同时抄报</w:t>
      </w:r>
      <w:r>
        <w:rPr>
          <w:rFonts w:hint="eastAsia" w:ascii="仿宋_GB2312" w:eastAsia="仿宋_GB2312"/>
          <w:color w:val="000000" w:themeColor="text1"/>
          <w:sz w:val="32"/>
          <w:szCs w:val="32"/>
          <w14:textFill>
            <w14:solidFill>
              <w14:schemeClr w14:val="tx1"/>
            </w14:solidFill>
          </w14:textFill>
        </w:rPr>
        <w:t>市水上交通安全专业委员会办公室（以下简称“市专委办”）。</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市专委办应及时汇总全市水路货运</w:t>
      </w:r>
      <w:r>
        <w:rPr>
          <w:rFonts w:hint="eastAsia" w:ascii="仿宋_GB2312" w:hAnsi="黑体" w:eastAsia="仿宋_GB2312"/>
          <w:color w:val="000000" w:themeColor="text1"/>
          <w:sz w:val="32"/>
          <w:szCs w:val="32"/>
          <w14:textFill>
            <w14:solidFill>
              <w14:schemeClr w14:val="tx1"/>
            </w14:solidFill>
          </w14:textFill>
        </w:rPr>
        <w:t>重点监管企业和船舶名单，并书面</w:t>
      </w:r>
      <w:r>
        <w:rPr>
          <w:rFonts w:hint="eastAsia" w:ascii="仿宋_GB2312" w:eastAsia="仿宋_GB2312"/>
          <w:color w:val="000000" w:themeColor="text1"/>
          <w:sz w:val="32"/>
          <w:szCs w:val="32"/>
          <w14:textFill>
            <w14:solidFill>
              <w14:schemeClr w14:val="tx1"/>
            </w14:solidFill>
          </w14:textFill>
        </w:rPr>
        <w:t>通报市级海事、船检和港航等相关部门。</w:t>
      </w:r>
    </w:p>
    <w:p>
      <w:pPr>
        <w:spacing w:line="600" w:lineRule="exact"/>
        <w:ind w:firstLine="640" w:firstLineChars="200"/>
      </w:pPr>
      <w:r>
        <w:rPr>
          <w:rFonts w:hint="eastAsia" w:ascii="黑体" w:hAnsi="黑体" w:eastAsia="黑体"/>
          <w:color w:val="000000" w:themeColor="text1"/>
          <w:sz w:val="32"/>
          <w:szCs w:val="32"/>
          <w14:textFill>
            <w14:solidFill>
              <w14:schemeClr w14:val="tx1"/>
            </w14:solidFill>
          </w14:textFill>
        </w:rPr>
        <w:t>第五条</w:t>
      </w:r>
      <w:r>
        <w:rPr>
          <w:rFonts w:hint="eastAsia" w:ascii="仿宋_GB2312" w:hAnsi="黑体" w:eastAsia="仿宋_GB2312"/>
          <w:color w:val="000000" w:themeColor="text1"/>
          <w:sz w:val="32"/>
          <w:szCs w:val="32"/>
          <w14:textFill>
            <w14:solidFill>
              <w14:schemeClr w14:val="tx1"/>
            </w14:solidFill>
          </w14:textFill>
        </w:rPr>
        <w:t xml:space="preserve">  各县（区）专委会组织海事、船检和港航等部门可对重点监管企业和船舶采取以下督促整改措施：</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（一）与企业开展1次“面对面”安全警示约谈，每季度开展1次现场检查和1次随机抽查；</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（二）每季度召开1次安全生产形势分析会，每半年开展1次海务、机务管理人员技能知识培训；</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（三）每日抽查核实企业值班值守和船舶点验情况，抽查率不少于50%。</w:t>
      </w:r>
      <w:r>
        <w:rPr>
          <w:rFonts w:ascii="仿宋_GB2312" w:hAnsi="黑体" w:eastAsia="仿宋_GB2312"/>
          <w:sz w:val="32"/>
          <w:szCs w:val="32"/>
        </w:rPr>
        <w:t>重大安保活动</w:t>
      </w:r>
      <w:r>
        <w:rPr>
          <w:rFonts w:hint="eastAsia" w:ascii="仿宋_GB2312" w:hAnsi="黑体" w:eastAsia="仿宋_GB2312"/>
          <w:sz w:val="32"/>
          <w:szCs w:val="32"/>
        </w:rPr>
        <w:t>、重大节假日、恶劣天气防御应急响应以及受其他突发事件影响期间实施全覆盖核实；</w:t>
      </w:r>
    </w:p>
    <w:p>
      <w:pPr>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（四）督促企业落实安全隐患排查和缺陷整改闭环。对于存在重大安全隐患的，一律列入重大安全隐患进行挂牌督办，视情实施安全状况评估，</w:t>
      </w:r>
      <w:r>
        <w:rPr>
          <w:rFonts w:hint="eastAsia" w:ascii="仿宋_GB2312" w:hAnsi="黑体" w:eastAsia="仿宋_GB2312"/>
          <w:color w:val="000000" w:themeColor="text1"/>
          <w:sz w:val="32"/>
          <w:szCs w:val="32"/>
          <w14:textFill>
            <w14:solidFill>
              <w14:schemeClr w14:val="tx1"/>
            </w14:solidFill>
          </w14:textFill>
        </w:rPr>
        <w:t>评估内容包括但不限于专职安全管理人员能力及履职、经营（管理）船舶安全风险管控、安全隐患排查治理、安全管理缺陷整改落实等。</w:t>
      </w:r>
      <w:r>
        <w:rPr>
          <w:rFonts w:hint="eastAsia" w:ascii="仿宋_GB2312" w:hAnsi="黑体" w:eastAsia="仿宋_GB2312" w:cs="Times New Roman"/>
          <w:sz w:val="32"/>
          <w:szCs w:val="32"/>
        </w:rPr>
        <w:t>评估不合格的，应责令停业整顿，并同时抄报市专委办；</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（五）其它必要的督促整改措施。</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第六条</w:t>
      </w:r>
      <w:r>
        <w:rPr>
          <w:rFonts w:hint="eastAsia" w:ascii="仿宋_GB2312" w:hAnsi="黑体" w:eastAsia="仿宋_GB2312" w:cs="Times New Roman"/>
          <w:sz w:val="32"/>
          <w:szCs w:val="32"/>
        </w:rPr>
        <w:t xml:space="preserve"> </w:t>
      </w:r>
      <w:r>
        <w:rPr>
          <w:rFonts w:hint="eastAsia" w:ascii="仿宋_GB2312" w:hAnsi="黑体" w:eastAsia="仿宋_GB2312"/>
          <w:color w:val="000000" w:themeColor="text1"/>
          <w:sz w:val="32"/>
          <w:szCs w:val="32"/>
          <w14:textFill>
            <w14:solidFill>
              <w14:schemeClr w14:val="tx1"/>
            </w14:solidFill>
          </w14:textFill>
        </w:rPr>
        <w:t>根据企业移除申请，各县（区）专委会可组织海事、船检和港航等部门实施安全状况评估。评估合格的可移出名单，由县（区）专委会对外公布，同时抄报市专委办。</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第七条</w:t>
      </w:r>
      <w:r>
        <w:rPr>
          <w:rFonts w:hint="eastAsia" w:ascii="仿宋_GB2312" w:hAnsi="黑体" w:eastAsia="仿宋_GB2312"/>
          <w:color w:val="000000" w:themeColor="text1"/>
          <w:sz w:val="32"/>
          <w:szCs w:val="32"/>
          <w14:textFill>
            <w14:solidFill>
              <w14:schemeClr w14:val="tx1"/>
            </w14:solidFill>
          </w14:textFill>
        </w:rPr>
        <w:t xml:space="preserve">  对列入重点监管名单的企业和船舶，采取以下惩戒措施：</w:t>
      </w:r>
    </w:p>
    <w:p>
      <w:pPr>
        <w:spacing w:line="60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（一）暂停新增营运</w:t>
      </w:r>
      <w:r>
        <w:rPr>
          <w:rFonts w:hint="eastAsia" w:ascii="仿宋_GB2312" w:hAnsi="黑体" w:eastAsia="仿宋_GB2312"/>
          <w:color w:val="000000" w:themeColor="text1"/>
          <w:sz w:val="32"/>
          <w:szCs w:val="32"/>
          <w14:textFill>
            <w14:solidFill>
              <w14:schemeClr w14:val="tx1"/>
            </w14:solidFill>
          </w14:textFill>
        </w:rPr>
        <w:t>货船（自有运力不足的企业可在通过安全风险评估后新增自有船舶运力）；</w:t>
      </w:r>
    </w:p>
    <w:p>
      <w:pPr>
        <w:spacing w:line="60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（二）暂停扩大经营范围；</w:t>
      </w:r>
    </w:p>
    <w:p>
      <w:pPr>
        <w:spacing w:line="60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（三）企业经营许可证换发时有效期不得超过1年，船舶营运证有效期不得超过6个月；</w:t>
      </w:r>
    </w:p>
    <w:p>
      <w:pPr>
        <w:spacing w:line="60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（四）涉及行政处罚事项的，一律顶格处置；</w:t>
      </w:r>
    </w:p>
    <w:p>
      <w:pPr>
        <w:spacing w:line="60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hint="eastAsia" w:ascii="仿宋_GB2312" w:hAnsi="仿宋" w:eastAsia="仿宋_GB2312" w:cs="Arial"/>
          <w:color w:val="000000" w:themeColor="text1"/>
          <w:kern w:val="0"/>
          <w:sz w:val="32"/>
          <w:szCs w:val="32"/>
          <w14:textFill>
            <w14:solidFill>
              <w14:schemeClr w14:val="tx1"/>
            </w14:solidFill>
          </w14:textFill>
        </w:rPr>
        <w:t>（五）取消各类政府奖励补助、评优评先资格；</w:t>
      </w:r>
    </w:p>
    <w:p>
      <w:pPr>
        <w:spacing w:line="600" w:lineRule="exact"/>
        <w:ind w:firstLine="640" w:firstLineChars="200"/>
        <w:rPr>
          <w:rFonts w:ascii="仿宋_GB2312" w:hAnsi="仿宋" w:eastAsia="仿宋_GB2312" w:cs="Arial"/>
          <w:color w:val="000000" w:themeColor="text1"/>
          <w:kern w:val="0"/>
          <w:sz w:val="32"/>
          <w:szCs w:val="32"/>
          <w14:textFill>
            <w14:solidFill>
              <w14:schemeClr w14:val="tx1"/>
            </w14:solidFill>
          </w14:textFill>
        </w:rPr>
      </w:pPr>
      <w:r>
        <w:rPr>
          <w:rFonts w:ascii="仿宋_GB2312" w:hAnsi="仿宋" w:eastAsia="仿宋_GB2312" w:cs="Arial"/>
          <w:color w:val="000000" w:themeColor="text1"/>
          <w:kern w:val="0"/>
          <w:sz w:val="32"/>
          <w:szCs w:val="32"/>
          <w14:textFill>
            <w14:solidFill>
              <w14:schemeClr w14:val="tx1"/>
            </w14:solidFill>
          </w14:textFill>
        </w:rPr>
        <w:t>（</w:t>
      </w:r>
      <w:r>
        <w:rPr>
          <w:rFonts w:hint="eastAsia" w:ascii="仿宋_GB2312" w:hAnsi="仿宋" w:eastAsia="仿宋_GB2312" w:cs="Arial"/>
          <w:color w:val="000000" w:themeColor="text1"/>
          <w:kern w:val="0"/>
          <w:sz w:val="32"/>
          <w:szCs w:val="32"/>
          <w14:textFill>
            <w14:solidFill>
              <w14:schemeClr w14:val="tx1"/>
            </w14:solidFill>
          </w14:textFill>
        </w:rPr>
        <w:t>六</w:t>
      </w:r>
      <w:r>
        <w:rPr>
          <w:rFonts w:ascii="仿宋_GB2312" w:hAnsi="仿宋" w:eastAsia="仿宋_GB2312" w:cs="Arial"/>
          <w:color w:val="000000" w:themeColor="text1"/>
          <w:kern w:val="0"/>
          <w:sz w:val="32"/>
          <w:szCs w:val="32"/>
          <w14:textFill>
            <w14:solidFill>
              <w14:schemeClr w14:val="tx1"/>
            </w14:solidFill>
          </w14:textFill>
        </w:rPr>
        <w:t>）取消港航和海事</w:t>
      </w:r>
      <w:r>
        <w:rPr>
          <w:rFonts w:hint="eastAsia" w:ascii="仿宋_GB2312" w:hAnsi="仿宋" w:eastAsia="仿宋_GB2312" w:cs="Arial"/>
          <w:color w:val="000000" w:themeColor="text1"/>
          <w:kern w:val="0"/>
          <w:sz w:val="32"/>
          <w:szCs w:val="32"/>
          <w14:textFill>
            <w14:solidFill>
              <w14:schemeClr w14:val="tx1"/>
            </w14:solidFill>
          </w14:textFill>
        </w:rPr>
        <w:t>政务</w:t>
      </w:r>
      <w:r>
        <w:rPr>
          <w:rFonts w:ascii="仿宋_GB2312" w:hAnsi="仿宋" w:eastAsia="仿宋_GB2312" w:cs="Arial"/>
          <w:color w:val="000000" w:themeColor="text1"/>
          <w:kern w:val="0"/>
          <w:sz w:val="32"/>
          <w:szCs w:val="32"/>
          <w14:textFill>
            <w14:solidFill>
              <w14:schemeClr w14:val="tx1"/>
            </w14:solidFill>
          </w14:textFill>
        </w:rPr>
        <w:t>办理便利措施。</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第八条</w:t>
      </w: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本管理办法由市专委会负责解释。</w:t>
      </w:r>
    </w:p>
    <w:p>
      <w:pPr>
        <w:spacing w:line="60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第九条</w:t>
      </w:r>
      <w:r>
        <w:rPr>
          <w:rFonts w:hint="eastAsia" w:ascii="仿宋_GB2312" w:eastAsia="仿宋_GB2312"/>
          <w:b/>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本管理办法自印发之日起施行。</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2DB4E"/>
    <w:multiLevelType w:val="singleLevel"/>
    <w:tmpl w:val="1812DB4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gzZTQxNjRiZTIwMzk4MDE5MWVlMzAwZGEyNjQifQ=="/>
  </w:docVars>
  <w:rsids>
    <w:rsidRoot w:val="00A113C0"/>
    <w:rsid w:val="0000564E"/>
    <w:rsid w:val="00007BBE"/>
    <w:rsid w:val="00016333"/>
    <w:rsid w:val="0002086F"/>
    <w:rsid w:val="0003301B"/>
    <w:rsid w:val="00034E6C"/>
    <w:rsid w:val="00035659"/>
    <w:rsid w:val="00035C22"/>
    <w:rsid w:val="00037E48"/>
    <w:rsid w:val="00050E3C"/>
    <w:rsid w:val="000518CB"/>
    <w:rsid w:val="0005701C"/>
    <w:rsid w:val="00076D8C"/>
    <w:rsid w:val="00080795"/>
    <w:rsid w:val="00084750"/>
    <w:rsid w:val="00087B18"/>
    <w:rsid w:val="000A5830"/>
    <w:rsid w:val="000A6276"/>
    <w:rsid w:val="000B1228"/>
    <w:rsid w:val="000B417D"/>
    <w:rsid w:val="000C4E70"/>
    <w:rsid w:val="000D38BE"/>
    <w:rsid w:val="000D4463"/>
    <w:rsid w:val="000D7E63"/>
    <w:rsid w:val="000E0A36"/>
    <w:rsid w:val="000E0BAA"/>
    <w:rsid w:val="000E118F"/>
    <w:rsid w:val="000E2CAA"/>
    <w:rsid w:val="000E32BE"/>
    <w:rsid w:val="000E52F9"/>
    <w:rsid w:val="000E5D7E"/>
    <w:rsid w:val="000E61C6"/>
    <w:rsid w:val="000E6510"/>
    <w:rsid w:val="00110024"/>
    <w:rsid w:val="00110EB2"/>
    <w:rsid w:val="001173B2"/>
    <w:rsid w:val="00123383"/>
    <w:rsid w:val="00127A4B"/>
    <w:rsid w:val="001317B9"/>
    <w:rsid w:val="0013792C"/>
    <w:rsid w:val="00140460"/>
    <w:rsid w:val="001443A8"/>
    <w:rsid w:val="001447AB"/>
    <w:rsid w:val="00144D56"/>
    <w:rsid w:val="00145A96"/>
    <w:rsid w:val="0015651B"/>
    <w:rsid w:val="00156600"/>
    <w:rsid w:val="00162C78"/>
    <w:rsid w:val="00163AB5"/>
    <w:rsid w:val="00174AB0"/>
    <w:rsid w:val="00180026"/>
    <w:rsid w:val="00181105"/>
    <w:rsid w:val="00181986"/>
    <w:rsid w:val="0018653B"/>
    <w:rsid w:val="00186926"/>
    <w:rsid w:val="001962AD"/>
    <w:rsid w:val="001A0B7A"/>
    <w:rsid w:val="001A447D"/>
    <w:rsid w:val="001A6681"/>
    <w:rsid w:val="001B334C"/>
    <w:rsid w:val="001B4DC1"/>
    <w:rsid w:val="001C120C"/>
    <w:rsid w:val="001C1FF4"/>
    <w:rsid w:val="001C60CB"/>
    <w:rsid w:val="001C6873"/>
    <w:rsid w:val="001C7650"/>
    <w:rsid w:val="001D03C5"/>
    <w:rsid w:val="001D3DA2"/>
    <w:rsid w:val="001D4D51"/>
    <w:rsid w:val="001D50C7"/>
    <w:rsid w:val="001E10EF"/>
    <w:rsid w:val="001F2083"/>
    <w:rsid w:val="001F29F2"/>
    <w:rsid w:val="001F51EB"/>
    <w:rsid w:val="001F7E01"/>
    <w:rsid w:val="00207BA3"/>
    <w:rsid w:val="0021067E"/>
    <w:rsid w:val="00213181"/>
    <w:rsid w:val="00215FF3"/>
    <w:rsid w:val="00221822"/>
    <w:rsid w:val="00225949"/>
    <w:rsid w:val="0022663E"/>
    <w:rsid w:val="0022788D"/>
    <w:rsid w:val="0024018B"/>
    <w:rsid w:val="00240664"/>
    <w:rsid w:val="002423CD"/>
    <w:rsid w:val="002434E0"/>
    <w:rsid w:val="00243DCD"/>
    <w:rsid w:val="002458D1"/>
    <w:rsid w:val="0025042A"/>
    <w:rsid w:val="00256522"/>
    <w:rsid w:val="002617A2"/>
    <w:rsid w:val="002625E3"/>
    <w:rsid w:val="00262AD8"/>
    <w:rsid w:val="002638AB"/>
    <w:rsid w:val="00266D5D"/>
    <w:rsid w:val="00272523"/>
    <w:rsid w:val="0027411C"/>
    <w:rsid w:val="002767D6"/>
    <w:rsid w:val="002811EA"/>
    <w:rsid w:val="00281A99"/>
    <w:rsid w:val="0028571B"/>
    <w:rsid w:val="002A0F67"/>
    <w:rsid w:val="002A5398"/>
    <w:rsid w:val="002B23A9"/>
    <w:rsid w:val="002C2BE5"/>
    <w:rsid w:val="002C40F9"/>
    <w:rsid w:val="002D182F"/>
    <w:rsid w:val="002D64A6"/>
    <w:rsid w:val="002D7F1C"/>
    <w:rsid w:val="002E7BC8"/>
    <w:rsid w:val="002F33DD"/>
    <w:rsid w:val="002F68B6"/>
    <w:rsid w:val="003005C1"/>
    <w:rsid w:val="00314EB8"/>
    <w:rsid w:val="00315E8E"/>
    <w:rsid w:val="003205AB"/>
    <w:rsid w:val="00324670"/>
    <w:rsid w:val="00325791"/>
    <w:rsid w:val="003271AD"/>
    <w:rsid w:val="0032768C"/>
    <w:rsid w:val="003401ED"/>
    <w:rsid w:val="00353093"/>
    <w:rsid w:val="00353B7F"/>
    <w:rsid w:val="00357A3B"/>
    <w:rsid w:val="00363EF7"/>
    <w:rsid w:val="00365916"/>
    <w:rsid w:val="00370907"/>
    <w:rsid w:val="00376FC0"/>
    <w:rsid w:val="00380B79"/>
    <w:rsid w:val="0038407F"/>
    <w:rsid w:val="00396960"/>
    <w:rsid w:val="003A1D9C"/>
    <w:rsid w:val="003A40FE"/>
    <w:rsid w:val="003B2E70"/>
    <w:rsid w:val="003B7ACE"/>
    <w:rsid w:val="003D0187"/>
    <w:rsid w:val="003E66A3"/>
    <w:rsid w:val="003F32F5"/>
    <w:rsid w:val="003F63DD"/>
    <w:rsid w:val="004051CF"/>
    <w:rsid w:val="00407B02"/>
    <w:rsid w:val="004117CA"/>
    <w:rsid w:val="00411E82"/>
    <w:rsid w:val="00413116"/>
    <w:rsid w:val="0041535C"/>
    <w:rsid w:val="00415BBE"/>
    <w:rsid w:val="00416F8A"/>
    <w:rsid w:val="00421749"/>
    <w:rsid w:val="0042521B"/>
    <w:rsid w:val="00456A2B"/>
    <w:rsid w:val="00460A8E"/>
    <w:rsid w:val="00461CE8"/>
    <w:rsid w:val="00464121"/>
    <w:rsid w:val="004867D0"/>
    <w:rsid w:val="00491F0C"/>
    <w:rsid w:val="00492B0C"/>
    <w:rsid w:val="0049709B"/>
    <w:rsid w:val="004A1794"/>
    <w:rsid w:val="004C306F"/>
    <w:rsid w:val="004C44D2"/>
    <w:rsid w:val="004D287D"/>
    <w:rsid w:val="004D6D0F"/>
    <w:rsid w:val="004E1CD9"/>
    <w:rsid w:val="004F240A"/>
    <w:rsid w:val="005003E3"/>
    <w:rsid w:val="00510434"/>
    <w:rsid w:val="00522EF2"/>
    <w:rsid w:val="0052382D"/>
    <w:rsid w:val="005244B7"/>
    <w:rsid w:val="00524DDE"/>
    <w:rsid w:val="00530ED5"/>
    <w:rsid w:val="00536B50"/>
    <w:rsid w:val="00537064"/>
    <w:rsid w:val="00540BAE"/>
    <w:rsid w:val="00545FD0"/>
    <w:rsid w:val="00547C14"/>
    <w:rsid w:val="00554600"/>
    <w:rsid w:val="00564341"/>
    <w:rsid w:val="005663AC"/>
    <w:rsid w:val="00576F1A"/>
    <w:rsid w:val="00583700"/>
    <w:rsid w:val="0058466A"/>
    <w:rsid w:val="00585C46"/>
    <w:rsid w:val="0058676C"/>
    <w:rsid w:val="00586E6C"/>
    <w:rsid w:val="0059061F"/>
    <w:rsid w:val="0059176F"/>
    <w:rsid w:val="005A1105"/>
    <w:rsid w:val="005A196F"/>
    <w:rsid w:val="005B60E5"/>
    <w:rsid w:val="005C0038"/>
    <w:rsid w:val="005C25F8"/>
    <w:rsid w:val="005C734F"/>
    <w:rsid w:val="005C7590"/>
    <w:rsid w:val="005C79E6"/>
    <w:rsid w:val="005D564A"/>
    <w:rsid w:val="005D7784"/>
    <w:rsid w:val="005E5C1D"/>
    <w:rsid w:val="005F1D1A"/>
    <w:rsid w:val="005F69A4"/>
    <w:rsid w:val="0060496C"/>
    <w:rsid w:val="00605760"/>
    <w:rsid w:val="00605781"/>
    <w:rsid w:val="00606F74"/>
    <w:rsid w:val="0061657B"/>
    <w:rsid w:val="006236B4"/>
    <w:rsid w:val="006253AC"/>
    <w:rsid w:val="006253B6"/>
    <w:rsid w:val="006310C2"/>
    <w:rsid w:val="006320C3"/>
    <w:rsid w:val="006325F9"/>
    <w:rsid w:val="00653222"/>
    <w:rsid w:val="006574DB"/>
    <w:rsid w:val="00660E94"/>
    <w:rsid w:val="00663E04"/>
    <w:rsid w:val="00663E52"/>
    <w:rsid w:val="0066443B"/>
    <w:rsid w:val="0067117B"/>
    <w:rsid w:val="00671C61"/>
    <w:rsid w:val="00672757"/>
    <w:rsid w:val="0067437B"/>
    <w:rsid w:val="006819D2"/>
    <w:rsid w:val="00683CF0"/>
    <w:rsid w:val="00692EE1"/>
    <w:rsid w:val="006935B0"/>
    <w:rsid w:val="00696FC1"/>
    <w:rsid w:val="006A2CEF"/>
    <w:rsid w:val="006A5AC6"/>
    <w:rsid w:val="006A7072"/>
    <w:rsid w:val="006A73C1"/>
    <w:rsid w:val="006B5246"/>
    <w:rsid w:val="006C3C80"/>
    <w:rsid w:val="006C5F5E"/>
    <w:rsid w:val="006C6A30"/>
    <w:rsid w:val="00700EB3"/>
    <w:rsid w:val="00717549"/>
    <w:rsid w:val="00720089"/>
    <w:rsid w:val="007204BE"/>
    <w:rsid w:val="0072204D"/>
    <w:rsid w:val="0072232F"/>
    <w:rsid w:val="007232EA"/>
    <w:rsid w:val="00724B98"/>
    <w:rsid w:val="0073058C"/>
    <w:rsid w:val="007322B7"/>
    <w:rsid w:val="00733672"/>
    <w:rsid w:val="00743639"/>
    <w:rsid w:val="007532FA"/>
    <w:rsid w:val="00767A8F"/>
    <w:rsid w:val="00767E38"/>
    <w:rsid w:val="00772266"/>
    <w:rsid w:val="00780112"/>
    <w:rsid w:val="00781C8B"/>
    <w:rsid w:val="00784F70"/>
    <w:rsid w:val="007854C1"/>
    <w:rsid w:val="00785B85"/>
    <w:rsid w:val="00790FB4"/>
    <w:rsid w:val="007911F9"/>
    <w:rsid w:val="00795EB7"/>
    <w:rsid w:val="007A017E"/>
    <w:rsid w:val="007A114D"/>
    <w:rsid w:val="007A5BB9"/>
    <w:rsid w:val="007B159E"/>
    <w:rsid w:val="007B3EF9"/>
    <w:rsid w:val="007B4558"/>
    <w:rsid w:val="007B702A"/>
    <w:rsid w:val="007C394D"/>
    <w:rsid w:val="007C53AA"/>
    <w:rsid w:val="007D009F"/>
    <w:rsid w:val="007D0138"/>
    <w:rsid w:val="007D0379"/>
    <w:rsid w:val="007D2334"/>
    <w:rsid w:val="007D4D72"/>
    <w:rsid w:val="007D596B"/>
    <w:rsid w:val="007D78C6"/>
    <w:rsid w:val="007E20EB"/>
    <w:rsid w:val="007E4DA7"/>
    <w:rsid w:val="007E5118"/>
    <w:rsid w:val="007E5F17"/>
    <w:rsid w:val="007F0E5C"/>
    <w:rsid w:val="007F285E"/>
    <w:rsid w:val="007F4AB2"/>
    <w:rsid w:val="008131EC"/>
    <w:rsid w:val="0082175C"/>
    <w:rsid w:val="00821E6A"/>
    <w:rsid w:val="00822180"/>
    <w:rsid w:val="008426A7"/>
    <w:rsid w:val="0084465D"/>
    <w:rsid w:val="0085044C"/>
    <w:rsid w:val="00850AFB"/>
    <w:rsid w:val="00856BFB"/>
    <w:rsid w:val="008634AB"/>
    <w:rsid w:val="00867129"/>
    <w:rsid w:val="00870EB8"/>
    <w:rsid w:val="00874761"/>
    <w:rsid w:val="0087516E"/>
    <w:rsid w:val="00885E5E"/>
    <w:rsid w:val="00887C17"/>
    <w:rsid w:val="00890DAC"/>
    <w:rsid w:val="008A6DA9"/>
    <w:rsid w:val="008B0C7A"/>
    <w:rsid w:val="008B3278"/>
    <w:rsid w:val="008B43A1"/>
    <w:rsid w:val="008D1DBE"/>
    <w:rsid w:val="008D28F0"/>
    <w:rsid w:val="008D695F"/>
    <w:rsid w:val="008E3F07"/>
    <w:rsid w:val="008F3C22"/>
    <w:rsid w:val="008F4268"/>
    <w:rsid w:val="00906B86"/>
    <w:rsid w:val="0091330A"/>
    <w:rsid w:val="00937218"/>
    <w:rsid w:val="00937C52"/>
    <w:rsid w:val="0094061A"/>
    <w:rsid w:val="00940923"/>
    <w:rsid w:val="00944F18"/>
    <w:rsid w:val="00950A8D"/>
    <w:rsid w:val="00954130"/>
    <w:rsid w:val="009614FB"/>
    <w:rsid w:val="00962033"/>
    <w:rsid w:val="00962B20"/>
    <w:rsid w:val="00962F1C"/>
    <w:rsid w:val="009655D5"/>
    <w:rsid w:val="0097190E"/>
    <w:rsid w:val="00972086"/>
    <w:rsid w:val="0098111A"/>
    <w:rsid w:val="00987256"/>
    <w:rsid w:val="009907D2"/>
    <w:rsid w:val="00991614"/>
    <w:rsid w:val="00992157"/>
    <w:rsid w:val="009A15B7"/>
    <w:rsid w:val="009A17EC"/>
    <w:rsid w:val="009A4C68"/>
    <w:rsid w:val="009A673E"/>
    <w:rsid w:val="009C48D7"/>
    <w:rsid w:val="009C7DE3"/>
    <w:rsid w:val="009D26BB"/>
    <w:rsid w:val="009E0C8A"/>
    <w:rsid w:val="009E32A5"/>
    <w:rsid w:val="009F1299"/>
    <w:rsid w:val="009F1ADC"/>
    <w:rsid w:val="009F7357"/>
    <w:rsid w:val="00A027EB"/>
    <w:rsid w:val="00A07B62"/>
    <w:rsid w:val="00A113C0"/>
    <w:rsid w:val="00A13C1F"/>
    <w:rsid w:val="00A250D2"/>
    <w:rsid w:val="00A2526A"/>
    <w:rsid w:val="00A312FD"/>
    <w:rsid w:val="00A31FE4"/>
    <w:rsid w:val="00A333AD"/>
    <w:rsid w:val="00A33720"/>
    <w:rsid w:val="00A4690E"/>
    <w:rsid w:val="00A64267"/>
    <w:rsid w:val="00A65E7F"/>
    <w:rsid w:val="00A7338F"/>
    <w:rsid w:val="00A73B7B"/>
    <w:rsid w:val="00A7475E"/>
    <w:rsid w:val="00A75B49"/>
    <w:rsid w:val="00A84BFB"/>
    <w:rsid w:val="00A87DF0"/>
    <w:rsid w:val="00A91B99"/>
    <w:rsid w:val="00A97789"/>
    <w:rsid w:val="00AA171B"/>
    <w:rsid w:val="00AA6C78"/>
    <w:rsid w:val="00AB35A8"/>
    <w:rsid w:val="00AC1F91"/>
    <w:rsid w:val="00AC5BB6"/>
    <w:rsid w:val="00AC5CAF"/>
    <w:rsid w:val="00AD50DD"/>
    <w:rsid w:val="00AD54C6"/>
    <w:rsid w:val="00AF02EB"/>
    <w:rsid w:val="00AF4B1C"/>
    <w:rsid w:val="00B026CC"/>
    <w:rsid w:val="00B05738"/>
    <w:rsid w:val="00B10A4C"/>
    <w:rsid w:val="00B10F9F"/>
    <w:rsid w:val="00B12FF9"/>
    <w:rsid w:val="00B13919"/>
    <w:rsid w:val="00B21694"/>
    <w:rsid w:val="00B22850"/>
    <w:rsid w:val="00B2792B"/>
    <w:rsid w:val="00B3167A"/>
    <w:rsid w:val="00B32B5A"/>
    <w:rsid w:val="00B3558A"/>
    <w:rsid w:val="00B37D14"/>
    <w:rsid w:val="00B41313"/>
    <w:rsid w:val="00B41DAA"/>
    <w:rsid w:val="00B4311A"/>
    <w:rsid w:val="00B43C39"/>
    <w:rsid w:val="00B55A53"/>
    <w:rsid w:val="00B61B0C"/>
    <w:rsid w:val="00B61CD8"/>
    <w:rsid w:val="00B62DDE"/>
    <w:rsid w:val="00B672CD"/>
    <w:rsid w:val="00B81B52"/>
    <w:rsid w:val="00B856BD"/>
    <w:rsid w:val="00B91C05"/>
    <w:rsid w:val="00B93B4B"/>
    <w:rsid w:val="00B95748"/>
    <w:rsid w:val="00BA3C6B"/>
    <w:rsid w:val="00BA4609"/>
    <w:rsid w:val="00BB7881"/>
    <w:rsid w:val="00BC111B"/>
    <w:rsid w:val="00BD0456"/>
    <w:rsid w:val="00BD24F2"/>
    <w:rsid w:val="00BD2D7C"/>
    <w:rsid w:val="00BE01DD"/>
    <w:rsid w:val="00BE0261"/>
    <w:rsid w:val="00BE30DC"/>
    <w:rsid w:val="00BE6387"/>
    <w:rsid w:val="00BE641E"/>
    <w:rsid w:val="00BF3B11"/>
    <w:rsid w:val="00BF57F1"/>
    <w:rsid w:val="00BF7968"/>
    <w:rsid w:val="00C01692"/>
    <w:rsid w:val="00C02718"/>
    <w:rsid w:val="00C04443"/>
    <w:rsid w:val="00C05A71"/>
    <w:rsid w:val="00C06C92"/>
    <w:rsid w:val="00C11835"/>
    <w:rsid w:val="00C12336"/>
    <w:rsid w:val="00C22BF7"/>
    <w:rsid w:val="00C30B19"/>
    <w:rsid w:val="00C360EB"/>
    <w:rsid w:val="00C43AF4"/>
    <w:rsid w:val="00C471EE"/>
    <w:rsid w:val="00C524AB"/>
    <w:rsid w:val="00C56AC4"/>
    <w:rsid w:val="00C57EB9"/>
    <w:rsid w:val="00C63900"/>
    <w:rsid w:val="00C711A8"/>
    <w:rsid w:val="00C757FB"/>
    <w:rsid w:val="00C77066"/>
    <w:rsid w:val="00C93AA8"/>
    <w:rsid w:val="00CA5EDF"/>
    <w:rsid w:val="00CC2091"/>
    <w:rsid w:val="00CC3515"/>
    <w:rsid w:val="00CC6DDE"/>
    <w:rsid w:val="00CD1539"/>
    <w:rsid w:val="00CD217D"/>
    <w:rsid w:val="00CD37EA"/>
    <w:rsid w:val="00CD4BA3"/>
    <w:rsid w:val="00CE0F7B"/>
    <w:rsid w:val="00CE1990"/>
    <w:rsid w:val="00CE733A"/>
    <w:rsid w:val="00CF1826"/>
    <w:rsid w:val="00CF64A5"/>
    <w:rsid w:val="00CF7280"/>
    <w:rsid w:val="00D036E2"/>
    <w:rsid w:val="00D03B4B"/>
    <w:rsid w:val="00D03D79"/>
    <w:rsid w:val="00D05F29"/>
    <w:rsid w:val="00D064AF"/>
    <w:rsid w:val="00D10777"/>
    <w:rsid w:val="00D11BD4"/>
    <w:rsid w:val="00D12747"/>
    <w:rsid w:val="00D128C5"/>
    <w:rsid w:val="00D167E5"/>
    <w:rsid w:val="00D16D27"/>
    <w:rsid w:val="00D17BB9"/>
    <w:rsid w:val="00D25211"/>
    <w:rsid w:val="00D253D2"/>
    <w:rsid w:val="00D25982"/>
    <w:rsid w:val="00D27AD3"/>
    <w:rsid w:val="00D4037E"/>
    <w:rsid w:val="00D42A92"/>
    <w:rsid w:val="00D42BB1"/>
    <w:rsid w:val="00D4394B"/>
    <w:rsid w:val="00D45D27"/>
    <w:rsid w:val="00D529A4"/>
    <w:rsid w:val="00D544D7"/>
    <w:rsid w:val="00D544DF"/>
    <w:rsid w:val="00D65BC1"/>
    <w:rsid w:val="00D673DB"/>
    <w:rsid w:val="00D8061D"/>
    <w:rsid w:val="00D80827"/>
    <w:rsid w:val="00DA4488"/>
    <w:rsid w:val="00DA7083"/>
    <w:rsid w:val="00DB02E6"/>
    <w:rsid w:val="00DB29B8"/>
    <w:rsid w:val="00DE03E8"/>
    <w:rsid w:val="00DE4FA8"/>
    <w:rsid w:val="00DE52EA"/>
    <w:rsid w:val="00DE66CF"/>
    <w:rsid w:val="00DE6BAD"/>
    <w:rsid w:val="00DF6176"/>
    <w:rsid w:val="00DF75AA"/>
    <w:rsid w:val="00DF7A13"/>
    <w:rsid w:val="00E110EC"/>
    <w:rsid w:val="00E1400C"/>
    <w:rsid w:val="00E23FC3"/>
    <w:rsid w:val="00E25BB0"/>
    <w:rsid w:val="00E27DC2"/>
    <w:rsid w:val="00E420AA"/>
    <w:rsid w:val="00E42168"/>
    <w:rsid w:val="00E4318E"/>
    <w:rsid w:val="00E43A36"/>
    <w:rsid w:val="00E46D90"/>
    <w:rsid w:val="00E507E1"/>
    <w:rsid w:val="00E50945"/>
    <w:rsid w:val="00E75943"/>
    <w:rsid w:val="00E80259"/>
    <w:rsid w:val="00E835DB"/>
    <w:rsid w:val="00E83ABF"/>
    <w:rsid w:val="00E94719"/>
    <w:rsid w:val="00EA03D7"/>
    <w:rsid w:val="00EA19FF"/>
    <w:rsid w:val="00EA6161"/>
    <w:rsid w:val="00EA7811"/>
    <w:rsid w:val="00EB2C2E"/>
    <w:rsid w:val="00EC652B"/>
    <w:rsid w:val="00EC7E7A"/>
    <w:rsid w:val="00ED5EC1"/>
    <w:rsid w:val="00ED7B4D"/>
    <w:rsid w:val="00EE11D0"/>
    <w:rsid w:val="00EE6355"/>
    <w:rsid w:val="00EF21C4"/>
    <w:rsid w:val="00EF4151"/>
    <w:rsid w:val="00EF44F0"/>
    <w:rsid w:val="00F0398C"/>
    <w:rsid w:val="00F15B55"/>
    <w:rsid w:val="00F20C2B"/>
    <w:rsid w:val="00F249DC"/>
    <w:rsid w:val="00F30386"/>
    <w:rsid w:val="00F3230A"/>
    <w:rsid w:val="00F33826"/>
    <w:rsid w:val="00F34E6A"/>
    <w:rsid w:val="00F44EEB"/>
    <w:rsid w:val="00F45004"/>
    <w:rsid w:val="00F45BCD"/>
    <w:rsid w:val="00F4682F"/>
    <w:rsid w:val="00F549B4"/>
    <w:rsid w:val="00F54B96"/>
    <w:rsid w:val="00F55AFE"/>
    <w:rsid w:val="00F56F59"/>
    <w:rsid w:val="00F61536"/>
    <w:rsid w:val="00F7288A"/>
    <w:rsid w:val="00F749C3"/>
    <w:rsid w:val="00F74A80"/>
    <w:rsid w:val="00F75ED6"/>
    <w:rsid w:val="00F866E3"/>
    <w:rsid w:val="00F87AC8"/>
    <w:rsid w:val="00F87E0A"/>
    <w:rsid w:val="00F90162"/>
    <w:rsid w:val="00F94D58"/>
    <w:rsid w:val="00F975DC"/>
    <w:rsid w:val="00FA14F0"/>
    <w:rsid w:val="00FA601E"/>
    <w:rsid w:val="00FC1233"/>
    <w:rsid w:val="00FC2A60"/>
    <w:rsid w:val="00FC2E88"/>
    <w:rsid w:val="00FC385A"/>
    <w:rsid w:val="00FC6114"/>
    <w:rsid w:val="00FC7B47"/>
    <w:rsid w:val="00FD2F6B"/>
    <w:rsid w:val="00FE43EF"/>
    <w:rsid w:val="00FF2A5D"/>
    <w:rsid w:val="00FF574D"/>
    <w:rsid w:val="07145766"/>
    <w:rsid w:val="08464A25"/>
    <w:rsid w:val="0AA06BD7"/>
    <w:rsid w:val="0B254327"/>
    <w:rsid w:val="0BDB561A"/>
    <w:rsid w:val="0CA56C9A"/>
    <w:rsid w:val="1BEF1448"/>
    <w:rsid w:val="1DBFFC2E"/>
    <w:rsid w:val="1F1C3997"/>
    <w:rsid w:val="21FFF196"/>
    <w:rsid w:val="24A0373B"/>
    <w:rsid w:val="2B607675"/>
    <w:rsid w:val="2DF31EA2"/>
    <w:rsid w:val="2DFD84EC"/>
    <w:rsid w:val="31C05847"/>
    <w:rsid w:val="37DE79FA"/>
    <w:rsid w:val="38370527"/>
    <w:rsid w:val="3B6D099E"/>
    <w:rsid w:val="3BEB39A2"/>
    <w:rsid w:val="3D8D2F8C"/>
    <w:rsid w:val="3E074A6B"/>
    <w:rsid w:val="3FAFAE43"/>
    <w:rsid w:val="3FEA249A"/>
    <w:rsid w:val="41E368DF"/>
    <w:rsid w:val="4F3B50D5"/>
    <w:rsid w:val="4F5BADA1"/>
    <w:rsid w:val="5365717C"/>
    <w:rsid w:val="550B420A"/>
    <w:rsid w:val="567F451F"/>
    <w:rsid w:val="56DE3AA5"/>
    <w:rsid w:val="5C7F4E95"/>
    <w:rsid w:val="5C8F2446"/>
    <w:rsid w:val="5CADB67A"/>
    <w:rsid w:val="5EAE646B"/>
    <w:rsid w:val="5FA18CDE"/>
    <w:rsid w:val="5FFE690E"/>
    <w:rsid w:val="64742E6B"/>
    <w:rsid w:val="657D319C"/>
    <w:rsid w:val="6D7D362B"/>
    <w:rsid w:val="6FFB53BB"/>
    <w:rsid w:val="700550A8"/>
    <w:rsid w:val="703D1E10"/>
    <w:rsid w:val="719F6B79"/>
    <w:rsid w:val="74F700F6"/>
    <w:rsid w:val="75D41CFA"/>
    <w:rsid w:val="75D68EAF"/>
    <w:rsid w:val="76585DA3"/>
    <w:rsid w:val="76FA368E"/>
    <w:rsid w:val="7B82710A"/>
    <w:rsid w:val="7D7B7D59"/>
    <w:rsid w:val="7D8C5EBC"/>
    <w:rsid w:val="7DDCFAC7"/>
    <w:rsid w:val="7EBFD30E"/>
    <w:rsid w:val="7F6B5CA0"/>
    <w:rsid w:val="7F751952"/>
    <w:rsid w:val="7F7F2CC2"/>
    <w:rsid w:val="7FFF5988"/>
    <w:rsid w:val="97FF6D27"/>
    <w:rsid w:val="9EF4FA70"/>
    <w:rsid w:val="9F9E0784"/>
    <w:rsid w:val="A7EEF66C"/>
    <w:rsid w:val="AB8AE701"/>
    <w:rsid w:val="BBBBFA23"/>
    <w:rsid w:val="BDC66191"/>
    <w:rsid w:val="BEB9D2E9"/>
    <w:rsid w:val="C75FCEE3"/>
    <w:rsid w:val="DDDD372B"/>
    <w:rsid w:val="E341AF23"/>
    <w:rsid w:val="E3FD5C84"/>
    <w:rsid w:val="EFEE27FC"/>
    <w:rsid w:val="F3FAEA74"/>
    <w:rsid w:val="F5FBFEBC"/>
    <w:rsid w:val="F5FF033F"/>
    <w:rsid w:val="F7CF89AF"/>
    <w:rsid w:val="F8FF298F"/>
    <w:rsid w:val="FB77DF36"/>
    <w:rsid w:val="FDFFAAD2"/>
    <w:rsid w:val="FF5F85A0"/>
    <w:rsid w:val="FFB50F4C"/>
    <w:rsid w:val="FFBFB8F6"/>
    <w:rsid w:val="FFF3800F"/>
    <w:rsid w:val="FFFB8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sz w:val="28"/>
    </w:rPr>
  </w:style>
  <w:style w:type="paragraph" w:styleId="3">
    <w:name w:val="Body Text"/>
    <w:basedOn w:val="1"/>
    <w:qFormat/>
    <w:uiPriority w:val="99"/>
    <w:pPr>
      <w:spacing w:after="120"/>
    </w:pPr>
  </w:style>
  <w:style w:type="paragraph" w:styleId="4">
    <w:name w:val="annotation text"/>
    <w:basedOn w:val="1"/>
    <w:link w:val="19"/>
    <w:unhideWhenUsed/>
    <w:qFormat/>
    <w:uiPriority w:val="99"/>
    <w:pPr>
      <w:jc w:val="left"/>
    </w:pPr>
  </w:style>
  <w:style w:type="paragraph" w:styleId="5">
    <w:name w:val="Plain Text"/>
    <w:basedOn w:val="1"/>
    <w:link w:val="16"/>
    <w:qFormat/>
    <w:uiPriority w:val="0"/>
    <w:rPr>
      <w:rFonts w:ascii="宋体" w:hAnsi="Courier New" w:cs="Courier New"/>
      <w:szCs w:val="21"/>
    </w:rPr>
  </w:style>
  <w:style w:type="paragraph" w:styleId="6">
    <w:name w:val="Balloon Text"/>
    <w:basedOn w:val="1"/>
    <w:link w:val="14"/>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99"/>
    <w:rPr>
      <w:sz w:val="18"/>
      <w:szCs w:val="18"/>
    </w:rPr>
  </w:style>
  <w:style w:type="character" w:customStyle="1" w:styleId="14">
    <w:name w:val="批注框文本 Char"/>
    <w:basedOn w:val="10"/>
    <w:link w:val="6"/>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纯文本 Char"/>
    <w:link w:val="5"/>
    <w:qFormat/>
    <w:uiPriority w:val="0"/>
    <w:rPr>
      <w:rFonts w:ascii="宋体" w:hAnsi="Courier New" w:cs="Courier New"/>
      <w:szCs w:val="21"/>
    </w:rPr>
  </w:style>
  <w:style w:type="character" w:customStyle="1" w:styleId="17">
    <w:name w:val="纯文本 Char1"/>
    <w:basedOn w:val="10"/>
    <w:semiHidden/>
    <w:qFormat/>
    <w:uiPriority w:val="99"/>
    <w:rPr>
      <w:rFonts w:ascii="宋体" w:hAnsi="Courier New" w:eastAsia="宋体" w:cs="Courier New"/>
      <w:szCs w:val="21"/>
    </w:rPr>
  </w:style>
  <w:style w:type="paragraph" w:customStyle="1" w:styleId="18">
    <w:name w:val="_Style 2"/>
    <w:basedOn w:val="1"/>
    <w:qFormat/>
    <w:uiPriority w:val="0"/>
    <w:pPr>
      <w:adjustRightInd w:val="0"/>
      <w:spacing w:line="360" w:lineRule="auto"/>
    </w:pPr>
    <w:rPr>
      <w:rFonts w:ascii="Times New Roman" w:hAnsi="Times New Roman" w:eastAsia="宋体" w:cs="Times New Roman"/>
      <w:kern w:val="0"/>
      <w:szCs w:val="32"/>
    </w:rPr>
  </w:style>
  <w:style w:type="character" w:customStyle="1" w:styleId="19">
    <w:name w:val="批注文字 Char"/>
    <w:basedOn w:val="10"/>
    <w:link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4</Pages>
  <Words>1675</Words>
  <Characters>1683</Characters>
  <Lines>12</Lines>
  <Paragraphs>3</Paragraphs>
  <TotalTime>22</TotalTime>
  <ScaleCrop>false</ScaleCrop>
  <LinksUpToDate>false</LinksUpToDate>
  <CharactersWithSpaces>1704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2022-11-21T01:34:00Z</dcterms:created>
  <dc:creator>俞凯</dc:creator>
  <cp:lastModifiedBy>王雨琦</cp:lastModifiedBy>
  <cp:lastPrinted>2021-12-24T06:28:00Z</cp:lastPrinted>
  <dcterms:modified xsi:type="dcterms:W3CDTF">2022-11-21T07:01:00Z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AAC5EA9FD994447695B04AEFBD2605B7</vt:lpwstr>
  </property>
</Properties>
</file>