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黑体" w:eastAsia="方正小标宋简体" w:cs="Times New Roman"/>
          <w:sz w:val="40"/>
          <w:szCs w:val="40"/>
        </w:rPr>
      </w:pPr>
      <w:r>
        <w:rPr>
          <w:rFonts w:hint="eastAsia" w:ascii="方正小标宋简体" w:hAnsi="黑体" w:eastAsia="方正小标宋简体" w:cs="Times New Roman"/>
          <w:sz w:val="40"/>
          <w:szCs w:val="40"/>
        </w:rPr>
        <w:t>舟山市新设水路货运企业新增货船安全风险</w:t>
      </w:r>
    </w:p>
    <w:p>
      <w:pPr>
        <w:spacing w:line="600" w:lineRule="exact"/>
        <w:jc w:val="center"/>
        <w:rPr>
          <w:rFonts w:ascii="方正小标宋简体" w:hAnsi="黑体" w:eastAsia="方正小标宋简体" w:cs="Times New Roman"/>
          <w:sz w:val="40"/>
          <w:szCs w:val="40"/>
        </w:rPr>
      </w:pPr>
      <w:r>
        <w:rPr>
          <w:rFonts w:hint="eastAsia" w:ascii="方正小标宋简体" w:hAnsi="黑体" w:eastAsia="方正小标宋简体" w:cs="Times New Roman"/>
          <w:sz w:val="40"/>
          <w:szCs w:val="40"/>
        </w:rPr>
        <w:t>评估指南</w:t>
      </w:r>
      <w:bookmarkStart w:id="0" w:name="_GoBack"/>
      <w:r>
        <w:rPr>
          <w:rFonts w:hint="eastAsia" w:ascii="方正小标宋简体" w:hAnsi="黑体" w:eastAsia="方正小标宋简体" w:cs="Times New Roman"/>
          <w:sz w:val="40"/>
          <w:szCs w:val="40"/>
        </w:rPr>
        <w:t>（</w:t>
      </w:r>
      <w:r>
        <w:rPr>
          <w:rFonts w:hint="eastAsia" w:ascii="方正小标宋简体" w:hAnsi="黑体" w:eastAsia="方正小标宋简体" w:cs="Times New Roman"/>
          <w:sz w:val="40"/>
          <w:szCs w:val="40"/>
          <w:lang w:val="en-US" w:eastAsia="zh-CN"/>
        </w:rPr>
        <w:t>征求意见稿</w:t>
      </w:r>
      <w:r>
        <w:rPr>
          <w:rFonts w:hint="eastAsia" w:ascii="方正小标宋简体" w:hAnsi="黑体" w:eastAsia="方正小标宋简体" w:cs="Times New Roman"/>
          <w:sz w:val="40"/>
          <w:szCs w:val="40"/>
        </w:rPr>
        <w:t>）</w:t>
      </w:r>
    </w:p>
    <w:bookmarkEnd w:id="0"/>
    <w:p>
      <w:pPr>
        <w:spacing w:line="600" w:lineRule="exact"/>
        <w:jc w:val="center"/>
        <w:rPr>
          <w:rFonts w:ascii="黑体" w:hAnsi="黑体" w:eastAsia="黑体"/>
          <w:sz w:val="32"/>
          <w:szCs w:val="32"/>
        </w:rPr>
      </w:pPr>
    </w:p>
    <w:p>
      <w:pPr>
        <w:spacing w:line="600" w:lineRule="exact"/>
        <w:ind w:firstLine="704" w:firstLineChars="220"/>
        <w:rPr>
          <w:rFonts w:ascii="仿宋_GB2312" w:eastAsia="仿宋_GB2312"/>
          <w:sz w:val="32"/>
          <w:szCs w:val="32"/>
        </w:rPr>
      </w:pPr>
      <w:r>
        <w:rPr>
          <w:rFonts w:hint="eastAsia" w:ascii="黑体" w:hAnsi="黑体" w:eastAsia="黑体"/>
          <w:sz w:val="32"/>
          <w:szCs w:val="32"/>
        </w:rPr>
        <w:t>第一条</w:t>
      </w:r>
      <w:r>
        <w:rPr>
          <w:rFonts w:hint="eastAsia" w:ascii="仿宋_GB2312" w:eastAsia="仿宋_GB2312"/>
          <w:b/>
          <w:sz w:val="32"/>
          <w:szCs w:val="32"/>
        </w:rPr>
        <w:t xml:space="preserve"> </w:t>
      </w:r>
      <w:r>
        <w:rPr>
          <w:rFonts w:hint="eastAsia" w:ascii="仿宋_GB2312" w:eastAsia="仿宋_GB2312"/>
          <w:sz w:val="32"/>
          <w:szCs w:val="32"/>
        </w:rPr>
        <w:t>为“控总量、减存量、提质量”，强化海上安全风险防控，遏制事故多发态势，促进航运业高质量健康发展，根据《安全生产法》《海上交通安全法》等相关法律法规，制定本指南。</w:t>
      </w:r>
    </w:p>
    <w:p>
      <w:pPr>
        <w:spacing w:line="600" w:lineRule="exact"/>
        <w:ind w:firstLine="704" w:firstLineChars="220"/>
        <w:rPr>
          <w:rFonts w:ascii="仿宋_GB2312" w:eastAsia="仿宋_GB2312"/>
          <w:sz w:val="32"/>
          <w:szCs w:val="32"/>
        </w:rPr>
      </w:pPr>
      <w:r>
        <w:rPr>
          <w:rFonts w:hint="eastAsia" w:ascii="黑体" w:hAnsi="黑体" w:eastAsia="黑体"/>
          <w:sz w:val="32"/>
          <w:szCs w:val="32"/>
        </w:rPr>
        <w:t>第二条</w:t>
      </w:r>
      <w:r>
        <w:rPr>
          <w:rFonts w:hint="eastAsia" w:ascii="仿宋_GB2312" w:eastAsia="仿宋_GB2312"/>
          <w:b/>
          <w:sz w:val="32"/>
          <w:szCs w:val="32"/>
        </w:rPr>
        <w:t xml:space="preserve"> </w:t>
      </w:r>
      <w:r>
        <w:rPr>
          <w:rFonts w:hint="eastAsia" w:ascii="仿宋_GB2312" w:eastAsia="仿宋_GB2312"/>
          <w:sz w:val="32"/>
          <w:szCs w:val="32"/>
        </w:rPr>
        <w:t>在我市从事水路运输业务（含船舶管理业务），有下列情形之一的，应进行安全风险评估，评估通过后方可申请船舶检验、新增运力评审（备案）、发证等事项：</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（一）新设国内水路货运企业、船舶管理企业以及现有企业扩大经营范围；</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（二）新增国内货船，包括国内新建、国际航行船舶转入国内运输、省内运输转省际运输以及现有船舶扩大经营范围；</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（三）从市外购置、拍卖或光租国内营运货船；</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（四）其他应评估的事项。</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本市企业新建省内散装液体危险品船的，按《舟山市新增危险品船运力管理办法（试行）》执行。企业购置本公司光租船舶改为自有经营，且安全管理体系自管的，无需进行评估。</w:t>
      </w:r>
    </w:p>
    <w:p>
      <w:pPr>
        <w:spacing w:line="600" w:lineRule="exact"/>
        <w:ind w:firstLine="704" w:firstLineChars="220"/>
        <w:rPr>
          <w:rFonts w:ascii="仿宋_GB2312" w:eastAsia="仿宋_GB2312"/>
          <w:sz w:val="32"/>
          <w:szCs w:val="32"/>
        </w:rPr>
      </w:pPr>
      <w:r>
        <w:rPr>
          <w:rFonts w:hint="eastAsia" w:ascii="黑体" w:hAnsi="黑体" w:eastAsia="黑体"/>
          <w:sz w:val="32"/>
          <w:szCs w:val="32"/>
        </w:rPr>
        <w:t>第三条</w:t>
      </w:r>
      <w:r>
        <w:rPr>
          <w:rFonts w:hint="eastAsia" w:ascii="仿宋_GB2312" w:eastAsia="仿宋_GB2312"/>
          <w:b/>
          <w:sz w:val="32"/>
          <w:szCs w:val="32"/>
        </w:rPr>
        <w:t xml:space="preserve"> </w:t>
      </w:r>
      <w:r>
        <w:rPr>
          <w:rFonts w:hint="eastAsia" w:ascii="仿宋_GB2312" w:eastAsia="仿宋_GB2312"/>
          <w:sz w:val="32"/>
          <w:szCs w:val="32"/>
        </w:rPr>
        <w:t>新设国内水路货运企业、新增国内货船应符合下列条件：</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（一）符合海事管理机构有关安全准入的要求；</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（二）满足企业经营资质条件，自有船舶运力标准除外；</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（三）符合我市航运业发展规划，促进行业规范经营、高质量发展，保障江海联运、海事服务基地建设，支持重大项目，服务悬水海岛民生等；</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（四）符合绿色低碳、环保节能等“双碳”发展方向；</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（五）企业信誉良好、经营规范，对地方经济贡献较大；</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（六）新增货船有真实明确的运输合同或业务意向；</w:t>
      </w:r>
      <w:r>
        <w:rPr>
          <w:rFonts w:ascii="仿宋_GB2312" w:eastAsia="仿宋_GB2312"/>
          <w:sz w:val="32"/>
          <w:szCs w:val="32"/>
        </w:rPr>
        <w:t xml:space="preserve"> </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（七）法律法规规定的其他条件。</w:t>
      </w:r>
    </w:p>
    <w:p>
      <w:pPr>
        <w:spacing w:line="600" w:lineRule="exact"/>
        <w:ind w:firstLine="704" w:firstLineChars="220"/>
        <w:rPr>
          <w:rFonts w:ascii="仿宋_GB2312" w:eastAsia="仿宋_GB2312"/>
          <w:sz w:val="32"/>
          <w:szCs w:val="32"/>
        </w:rPr>
      </w:pPr>
      <w:r>
        <w:rPr>
          <w:rFonts w:hint="eastAsia" w:ascii="黑体" w:hAnsi="黑体" w:eastAsia="黑体"/>
          <w:sz w:val="32"/>
          <w:szCs w:val="32"/>
        </w:rPr>
        <w:t xml:space="preserve">第四条 </w:t>
      </w:r>
      <w:r>
        <w:rPr>
          <w:rFonts w:hint="eastAsia" w:ascii="仿宋_GB2312" w:eastAsia="仿宋_GB2312"/>
          <w:sz w:val="32"/>
          <w:szCs w:val="32"/>
        </w:rPr>
        <w:t>严格控制新设以下国内水路货运企业：</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（一）自有船舶运力不足5000总吨的（1000总吨以下船舶不计入企业自有船舶运力）；</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（二）所属</w:t>
      </w:r>
      <w:r>
        <w:rPr>
          <w:rFonts w:ascii="仿宋_GB2312" w:eastAsia="仿宋_GB2312"/>
          <w:sz w:val="32"/>
          <w:szCs w:val="32"/>
        </w:rPr>
        <w:t>船舶安全管理体系委托管理</w:t>
      </w:r>
      <w:r>
        <w:rPr>
          <w:rFonts w:hint="eastAsia" w:ascii="仿宋_GB2312" w:eastAsia="仿宋_GB2312"/>
          <w:sz w:val="32"/>
          <w:szCs w:val="32"/>
        </w:rPr>
        <w:t>的；</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（三）在我市无实际办公场所的；</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（四）海务、机务管理人员相应从业资历不足三年或平均年龄在60周岁以上的；</w:t>
      </w:r>
      <w:r>
        <w:rPr>
          <w:rFonts w:ascii="仿宋_GB2312" w:eastAsia="仿宋_GB2312"/>
          <w:sz w:val="32"/>
          <w:szCs w:val="32"/>
        </w:rPr>
        <w:t xml:space="preserve"> </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（五）法定代表人、控股股东、安全管理人员或海务、机务管理人员有严重失信行为等问题的；</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（六）根据同类型企业事故等情况，认为有较大安全风险的。</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鼓励我市现有水路货运企业兼并重组。对兼并重组企业可适当放宽条件，申报新增被收购企业的经营许可。</w:t>
      </w:r>
    </w:p>
    <w:p>
      <w:pPr>
        <w:spacing w:line="600" w:lineRule="exact"/>
        <w:ind w:firstLine="704" w:firstLineChars="220"/>
        <w:rPr>
          <w:rFonts w:ascii="仿宋_GB2312" w:eastAsia="仿宋_GB2312"/>
          <w:sz w:val="32"/>
          <w:szCs w:val="32"/>
        </w:rPr>
      </w:pPr>
      <w:r>
        <w:rPr>
          <w:rFonts w:hint="eastAsia" w:ascii="黑体" w:hAnsi="黑体" w:eastAsia="黑体"/>
          <w:sz w:val="32"/>
          <w:szCs w:val="32"/>
        </w:rPr>
        <w:t>第五条</w:t>
      </w:r>
      <w:r>
        <w:rPr>
          <w:rFonts w:hint="eastAsia" w:ascii="仿宋_GB2312" w:eastAsia="仿宋_GB2312"/>
          <w:b/>
          <w:sz w:val="32"/>
          <w:szCs w:val="32"/>
        </w:rPr>
        <w:t xml:space="preserve"> </w:t>
      </w:r>
      <w:r>
        <w:rPr>
          <w:rFonts w:hint="eastAsia" w:ascii="仿宋_GB2312" w:eastAsia="仿宋_GB2312"/>
          <w:sz w:val="32"/>
          <w:szCs w:val="32"/>
        </w:rPr>
        <w:t>严格控制新设以下国内船舶管理企业：</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（一）不从事水路运输</w:t>
      </w:r>
      <w:r>
        <w:rPr>
          <w:rFonts w:ascii="仿宋_GB2312" w:eastAsia="仿宋_GB2312"/>
          <w:sz w:val="32"/>
          <w:szCs w:val="32"/>
        </w:rPr>
        <w:t>仅从事船舶管理业务的</w:t>
      </w:r>
      <w:r>
        <w:rPr>
          <w:rFonts w:hint="eastAsia" w:ascii="仿宋_GB2312" w:eastAsia="仿宋_GB2312"/>
          <w:sz w:val="32"/>
          <w:szCs w:val="32"/>
        </w:rPr>
        <w:t>；</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（二）海务、机务管理人员相应从业资历不足三年或平均年龄在60周岁以上的；</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（三）法定代表人、控股股东、安全管理人员或海务、机务管理人员有严重失信行为等问题的；</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（四）根据同类型企业事故等情况，认为有较大安全风险的。</w:t>
      </w:r>
    </w:p>
    <w:p>
      <w:pPr>
        <w:spacing w:line="600" w:lineRule="exact"/>
        <w:ind w:firstLine="704" w:firstLineChars="220"/>
        <w:rPr>
          <w:rFonts w:ascii="仿宋_GB2312" w:eastAsia="仿宋_GB2312"/>
          <w:sz w:val="32"/>
          <w:szCs w:val="32"/>
        </w:rPr>
      </w:pPr>
      <w:r>
        <w:rPr>
          <w:rFonts w:hint="eastAsia" w:ascii="黑体" w:hAnsi="黑体" w:eastAsia="黑体"/>
          <w:sz w:val="32"/>
          <w:szCs w:val="32"/>
        </w:rPr>
        <w:t>第六条</w:t>
      </w:r>
      <w:r>
        <w:rPr>
          <w:rFonts w:hint="eastAsia" w:ascii="仿宋_GB2312" w:eastAsia="仿宋_GB2312"/>
          <w:b/>
          <w:sz w:val="32"/>
          <w:szCs w:val="32"/>
        </w:rPr>
        <w:t xml:space="preserve"> </w:t>
      </w:r>
      <w:r>
        <w:rPr>
          <w:rFonts w:hint="eastAsia" w:ascii="仿宋_GB2312" w:eastAsia="仿宋_GB2312"/>
          <w:sz w:val="32"/>
          <w:szCs w:val="32"/>
        </w:rPr>
        <w:t>严格控制新增或从市外购置、拍卖、光租以下船舶：</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（一）自卸砂船、运砂运石运泥船、装载砂石的甲板货船等砂石类运输船舶；</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（二）1000总吨以下小型货船；</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（三）船龄15年以上拖轮或12年以上普通货船；</w:t>
      </w:r>
      <w:r>
        <w:rPr>
          <w:rFonts w:ascii="仿宋_GB2312" w:eastAsia="仿宋_GB2312"/>
          <w:sz w:val="32"/>
          <w:szCs w:val="32"/>
        </w:rPr>
        <w:t xml:space="preserve"> </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（四）船龄10年以上或单壳散装液体危险品船；</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（五）安全管理体系委托市外船舶管理企业代管的货船；</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（六）根据同类型船舶事故等情况，认为有较大安全风险的货船。</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 xml:space="preserve"> “绿色通道”企业新增货船的船龄按照《舟山市新增货船绿色通道制度（试行）》执行。</w:t>
      </w:r>
    </w:p>
    <w:p>
      <w:pPr>
        <w:spacing w:line="600" w:lineRule="exact"/>
        <w:ind w:firstLine="704" w:firstLineChars="220"/>
        <w:rPr>
          <w:rFonts w:ascii="黑体" w:hAnsi="黑体" w:eastAsia="黑体" w:cs="黑体"/>
          <w:sz w:val="32"/>
          <w:szCs w:val="32"/>
        </w:rPr>
      </w:pPr>
      <w:r>
        <w:rPr>
          <w:rFonts w:hint="eastAsia" w:ascii="黑体" w:hAnsi="黑体" w:eastAsia="黑体"/>
          <w:sz w:val="32"/>
          <w:szCs w:val="32"/>
        </w:rPr>
        <w:t>第七条</w:t>
      </w:r>
      <w:r>
        <w:rPr>
          <w:rFonts w:hint="eastAsia" w:ascii="仿宋_GB2312" w:eastAsia="仿宋_GB2312"/>
          <w:sz w:val="32"/>
          <w:szCs w:val="32"/>
        </w:rPr>
        <w:t xml:space="preserve"> 鼓励采取“退一进一”或“退多进一”等方式更新运力。购置市外散装液体危险品船用于运力更新的，可不受本指南第六条规定的限制，但该购置船舶应在办理营运证后应直接拆解报废，不得从事营运。退出船舶为舟山籍船舶的，应拆解报废或出售至省外；确需营运的，经相关船舶检验机构质量认可，可营运至新船投入营运前；舟山籍退出船舶也可作港作船使用，但必须在港口管理部门同意备案后，新船方可办理船舶营运证件。</w:t>
      </w:r>
    </w:p>
    <w:p>
      <w:pPr>
        <w:spacing w:line="600" w:lineRule="exact"/>
        <w:ind w:firstLine="704" w:firstLineChars="220"/>
        <w:rPr>
          <w:rFonts w:ascii="仿宋_GB2312" w:eastAsia="仿宋_GB2312"/>
          <w:sz w:val="32"/>
          <w:szCs w:val="32"/>
        </w:rPr>
      </w:pPr>
      <w:r>
        <w:rPr>
          <w:rFonts w:hint="eastAsia" w:ascii="黑体" w:hAnsi="黑体" w:eastAsia="黑体"/>
          <w:sz w:val="32"/>
          <w:szCs w:val="32"/>
        </w:rPr>
        <w:t>第八条</w:t>
      </w:r>
      <w:r>
        <w:rPr>
          <w:rFonts w:hint="eastAsia" w:ascii="仿宋_GB2312" w:eastAsia="仿宋_GB2312"/>
          <w:b/>
          <w:sz w:val="32"/>
          <w:szCs w:val="32"/>
        </w:rPr>
        <w:t xml:space="preserve"> </w:t>
      </w:r>
      <w:r>
        <w:rPr>
          <w:rFonts w:hint="eastAsia" w:ascii="仿宋_GB2312" w:eastAsia="仿宋_GB2312"/>
          <w:sz w:val="32"/>
          <w:szCs w:val="32"/>
        </w:rPr>
        <w:t>现有国内水路货运企业有以下情形的，严格控制新增营运货船和扩大经营范围：</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（一）不符合安全管理体系要求，或体系委托的船舶管理企业不符合海事管理机构要求的；</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（二）按规定应取得安全管理证书的船舶超过3艘（含新增船舶）但不自建安全管理体系，或自建体系但船舶委托他人管理的；</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（三）涉嫌“假光租”“假自有”或“代而不管”的；</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（四）不符合企业经营资质条件的（自有船舶运力标准除外）；</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（五）海务、机务管理人员平均年龄在60周岁以上的；</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（六）未完成责令整改事项的，或近一年内受到两次以上责令整改处理的(对自有船舶运力不足的整改事项除外)；</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（七）近三年内发生较大以上安全生产责任事故或两起以上一般等级负主要责任水上交通事故的；</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八）行政处罚后有关违法违规行为未完成整改的，或近6个月内存在严重违法违规行为的，或近一年内因同一种严重违法违规行为受到两次及以上行政处罚的。严重违法违规行为主要包括无证船员上船、配员不足、超速超载、值班不到位、违规追越、行驶航道错误、未按规定使用燃油或违规排污等。</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近一年内存在严重违法违规行为行政处罚事项的，有关县（区）专委会应组织相关部门进行重点监管，确保各项问题整改到位。</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（九）被列入重点监管名单或存在严重不良信用信息且在披露期内的；</w:t>
      </w:r>
      <w:r>
        <w:rPr>
          <w:rFonts w:ascii="仿宋_GB2312" w:eastAsia="仿宋_GB2312"/>
          <w:sz w:val="32"/>
          <w:szCs w:val="32"/>
        </w:rPr>
        <w:t xml:space="preserve"> </w:t>
      </w:r>
    </w:p>
    <w:p>
      <w:pPr>
        <w:spacing w:line="600" w:lineRule="exact"/>
        <w:ind w:firstLine="704" w:firstLineChars="220"/>
        <w:rPr>
          <w:rFonts w:ascii="黑体" w:hAnsi="黑体" w:eastAsia="黑体" w:cs="黑体"/>
          <w:sz w:val="32"/>
          <w:szCs w:val="32"/>
        </w:rPr>
      </w:pPr>
      <w:r>
        <w:rPr>
          <w:rFonts w:hint="eastAsia" w:ascii="仿宋_GB2312" w:eastAsia="仿宋_GB2312"/>
          <w:sz w:val="32"/>
          <w:szCs w:val="32"/>
        </w:rPr>
        <w:t>（十）根据同类型企业事故等情况，认为有较大安全风险的。</w:t>
      </w:r>
    </w:p>
    <w:p>
      <w:pPr>
        <w:spacing w:line="600" w:lineRule="exact"/>
        <w:ind w:firstLine="640"/>
        <w:rPr>
          <w:rFonts w:ascii="仿宋_GB2312" w:eastAsia="仿宋_GB2312"/>
          <w:sz w:val="32"/>
          <w:szCs w:val="32"/>
        </w:rPr>
      </w:pPr>
      <w:r>
        <w:rPr>
          <w:rFonts w:hint="eastAsia" w:ascii="仿宋_GB2312" w:eastAsia="仿宋_GB2312"/>
          <w:sz w:val="32"/>
          <w:szCs w:val="32"/>
        </w:rPr>
        <w:t>船舶管理企业与水路货运企业存在控股关系或同一控股股东的，在评估中该船舶管理公司为其管理的船舶可视同为该水路货运企业自管船舶。</w:t>
      </w:r>
    </w:p>
    <w:p>
      <w:pPr>
        <w:spacing w:line="600" w:lineRule="exact"/>
        <w:ind w:firstLine="640"/>
        <w:rPr>
          <w:rFonts w:ascii="仿宋_GB2312" w:eastAsia="仿宋_GB2312"/>
          <w:sz w:val="32"/>
          <w:szCs w:val="32"/>
        </w:rPr>
      </w:pPr>
      <w:r>
        <w:rPr>
          <w:rFonts w:hint="eastAsia" w:ascii="仿宋_GB2312" w:eastAsia="仿宋_GB2312"/>
          <w:sz w:val="32"/>
          <w:szCs w:val="32"/>
        </w:rPr>
        <w:t>对自有船舶运力不足的企业可适当放宽条件，但按水路运输管理规定不得新增光租船舶和扩大经营范围。</w:t>
      </w:r>
    </w:p>
    <w:p>
      <w:pPr>
        <w:spacing w:line="600" w:lineRule="exact"/>
        <w:ind w:firstLine="640"/>
        <w:rPr>
          <w:rFonts w:ascii="仿宋_GB2312" w:eastAsia="仿宋_GB2312"/>
          <w:sz w:val="32"/>
          <w:szCs w:val="32"/>
        </w:rPr>
      </w:pPr>
      <w:r>
        <w:rPr>
          <w:rFonts w:hint="eastAsia" w:ascii="仿宋_GB2312" w:eastAsia="仿宋_GB2312"/>
          <w:sz w:val="32"/>
          <w:szCs w:val="32"/>
        </w:rPr>
        <w:t>上述事故企新增船舶运力的，必须进行全面整改，经第三方机构评估合格，并经县（区）水上专委会组织相关部门检查确认。</w:t>
      </w:r>
    </w:p>
    <w:p>
      <w:pPr>
        <w:spacing w:line="600" w:lineRule="exact"/>
        <w:ind w:firstLine="640"/>
        <w:rPr>
          <w:rFonts w:ascii="仿宋_GB2312" w:eastAsia="仿宋_GB2312"/>
          <w:sz w:val="32"/>
          <w:szCs w:val="32"/>
        </w:rPr>
      </w:pPr>
      <w:r>
        <w:rPr>
          <w:rFonts w:hint="eastAsia" w:ascii="仿宋_GB2312" w:eastAsia="仿宋_GB2312"/>
          <w:sz w:val="32"/>
          <w:szCs w:val="32"/>
        </w:rPr>
        <w:t>对以“退一进一”或“退多进一”等方式更新运力的，可适当放宽条件。船舶已拆解或清退至市外的，作为整改措施，涉及该船的行政处罚可不纳入评估范围。</w:t>
      </w:r>
    </w:p>
    <w:p>
      <w:pPr>
        <w:spacing w:line="600" w:lineRule="exact"/>
        <w:ind w:firstLine="704" w:firstLineChars="220"/>
        <w:rPr>
          <w:rFonts w:ascii="仿宋_GB2312" w:eastAsia="仿宋_GB2312"/>
          <w:sz w:val="32"/>
          <w:szCs w:val="32"/>
        </w:rPr>
      </w:pPr>
      <w:r>
        <w:rPr>
          <w:rFonts w:hint="eastAsia" w:ascii="黑体" w:hAnsi="黑体" w:eastAsia="黑体"/>
          <w:sz w:val="32"/>
          <w:szCs w:val="32"/>
        </w:rPr>
        <w:t xml:space="preserve">第九条 </w:t>
      </w:r>
      <w:r>
        <w:rPr>
          <w:rFonts w:hint="eastAsia" w:ascii="仿宋_GB2312" w:eastAsia="仿宋_GB2312"/>
          <w:sz w:val="32"/>
          <w:szCs w:val="32"/>
        </w:rPr>
        <w:t>为保障我市重大项目、江海联运、海事服务基地建设，服务悬水海岛民生及应急战备等所需的新增货船或新设企业，可适当放宽要求。其中，属重大项目、悬水海岛民生所需货船的，应由属地政府提供相关证明材料;其它船舶应由相关管理部门提供证明材料；船龄超过规定的，应经相关船舶检验机构质量认可。</w:t>
      </w:r>
    </w:p>
    <w:p>
      <w:pPr>
        <w:spacing w:line="600" w:lineRule="exact"/>
        <w:ind w:firstLine="704" w:firstLineChars="220"/>
        <w:rPr>
          <w:rFonts w:ascii="仿宋_GB2312" w:eastAsia="仿宋_GB2312"/>
          <w:sz w:val="32"/>
          <w:szCs w:val="32"/>
        </w:rPr>
      </w:pPr>
      <w:r>
        <w:rPr>
          <w:rFonts w:hint="eastAsia" w:ascii="黑体" w:hAnsi="黑体" w:eastAsia="黑体"/>
          <w:sz w:val="32"/>
          <w:szCs w:val="32"/>
        </w:rPr>
        <w:t>第十条</w:t>
      </w:r>
      <w:r>
        <w:rPr>
          <w:rFonts w:hint="eastAsia" w:ascii="仿宋_GB2312" w:eastAsia="仿宋_GB2312"/>
          <w:b/>
          <w:sz w:val="32"/>
          <w:szCs w:val="32"/>
        </w:rPr>
        <w:t xml:space="preserve"> </w:t>
      </w:r>
      <w:r>
        <w:rPr>
          <w:rFonts w:hint="eastAsia" w:ascii="仿宋_GB2312" w:eastAsia="仿宋_GB2312"/>
          <w:sz w:val="32"/>
          <w:szCs w:val="32"/>
        </w:rPr>
        <w:t>安全风险评估按以下程序进行：</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（一）申报新设水路货运企业或新增货船的，应当向有关县（区）、功能区水上交通安全专业委员会（以下简称“各县（区）专委会”）提交申报书和证明申报人符合本指南有关规定条件的相关材料；</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（二）各县（区）专委会负责组织开展初评，并核实申报材料真实性。初审通过的，应形成意见，报市水上交通安全专业委员会（以下简称“市专委会”）；</w:t>
      </w:r>
    </w:p>
    <w:p>
      <w:pPr>
        <w:spacing w:line="600" w:lineRule="exact"/>
        <w:ind w:firstLine="704" w:firstLineChars="220"/>
        <w:rPr>
          <w:rFonts w:ascii="仿宋_GB2312" w:eastAsia="仿宋_GB2312"/>
          <w:sz w:val="32"/>
          <w:szCs w:val="32"/>
        </w:rPr>
      </w:pPr>
      <w:r>
        <w:rPr>
          <w:rFonts w:hint="eastAsia" w:ascii="仿宋_GB2312" w:eastAsia="仿宋_GB2312"/>
          <w:sz w:val="32"/>
          <w:szCs w:val="32"/>
        </w:rPr>
        <w:t>（三）市专委会或委托专委会办公室（以下简称“市专委办”）负责组织海事、船检和港航等相关部门进行评估。审查通过的，应予以公示，</w:t>
      </w:r>
      <w:r>
        <w:rPr>
          <w:rFonts w:ascii="仿宋_GB2312" w:eastAsia="仿宋_GB2312"/>
          <w:sz w:val="32"/>
          <w:szCs w:val="32"/>
        </w:rPr>
        <w:t>公示期5个工作日</w:t>
      </w:r>
      <w:r>
        <w:rPr>
          <w:rFonts w:hint="eastAsia" w:ascii="仿宋_GB2312" w:eastAsia="仿宋_GB2312"/>
          <w:sz w:val="32"/>
          <w:szCs w:val="32"/>
        </w:rPr>
        <w:t>。公示无异议的，市专委办书面通报市级海事、船检和港航等相关部门。</w:t>
      </w:r>
    </w:p>
    <w:p>
      <w:pPr>
        <w:spacing w:line="600" w:lineRule="exact"/>
        <w:ind w:firstLine="645"/>
        <w:rPr>
          <w:rFonts w:ascii="仿宋_GB2312" w:eastAsia="仿宋_GB2312"/>
          <w:sz w:val="32"/>
          <w:szCs w:val="32"/>
        </w:rPr>
      </w:pPr>
      <w:r>
        <w:rPr>
          <w:rFonts w:hint="eastAsia" w:ascii="黑体" w:hAnsi="黑体" w:eastAsia="黑体"/>
          <w:sz w:val="32"/>
          <w:szCs w:val="32"/>
        </w:rPr>
        <w:t xml:space="preserve">第十一条 </w:t>
      </w:r>
      <w:r>
        <w:rPr>
          <w:rFonts w:hint="eastAsia" w:ascii="仿宋_GB2312" w:eastAsia="仿宋_GB2312"/>
          <w:sz w:val="32"/>
          <w:szCs w:val="32"/>
        </w:rPr>
        <w:t>安全风险评估已同意的事项，在后续申请办理证书时，期间企业若无安全生产责任事故和严重违法违规行为的，由各县（区）专委会出具书面意见，企业可持书面意见向相关部门申请发证。</w:t>
      </w:r>
    </w:p>
    <w:p>
      <w:pPr>
        <w:spacing w:line="600" w:lineRule="exact"/>
        <w:ind w:firstLine="645"/>
      </w:pPr>
      <w:r>
        <w:rPr>
          <w:rFonts w:hint="eastAsia" w:ascii="黑体" w:hAnsi="黑体" w:eastAsia="黑体"/>
          <w:sz w:val="32"/>
          <w:szCs w:val="32"/>
        </w:rPr>
        <w:t>第十二条</w:t>
      </w:r>
      <w:r>
        <w:rPr>
          <w:rFonts w:hint="eastAsia" w:ascii="仿宋_GB2312" w:eastAsia="仿宋_GB2312"/>
          <w:b/>
          <w:sz w:val="32"/>
          <w:szCs w:val="32"/>
        </w:rPr>
        <w:t xml:space="preserve"> </w:t>
      </w:r>
      <w:r>
        <w:rPr>
          <w:rFonts w:hint="eastAsia" w:ascii="仿宋_GB2312" w:eastAsia="仿宋_GB2312"/>
          <w:sz w:val="32"/>
          <w:szCs w:val="32"/>
        </w:rPr>
        <w:t>海事、船检和港航等相关部门依法依规开展船舶检验、新增运力评审（备案）、发证等工作。发现申请材料与评估情况不符的，不予受理或转报。</w:t>
      </w:r>
    </w:p>
    <w:p>
      <w:pPr>
        <w:spacing w:line="600" w:lineRule="exact"/>
        <w:ind w:firstLine="645"/>
        <w:rPr>
          <w:rFonts w:ascii="仿宋_GB2312" w:eastAsia="仿宋_GB2312"/>
          <w:sz w:val="32"/>
          <w:szCs w:val="32"/>
        </w:rPr>
      </w:pPr>
      <w:r>
        <w:rPr>
          <w:rFonts w:hint="eastAsia" w:ascii="黑体" w:hAnsi="黑体" w:eastAsia="黑体"/>
          <w:sz w:val="32"/>
          <w:szCs w:val="32"/>
        </w:rPr>
        <w:t xml:space="preserve">第十三条 </w:t>
      </w:r>
      <w:r>
        <w:rPr>
          <w:rFonts w:hint="eastAsia" w:ascii="仿宋_GB2312" w:eastAsia="仿宋_GB2312"/>
          <w:sz w:val="32"/>
          <w:szCs w:val="32"/>
        </w:rPr>
        <w:t>本指南由市专委会负责解释。</w:t>
      </w:r>
    </w:p>
    <w:p>
      <w:pPr>
        <w:spacing w:line="600" w:lineRule="exact"/>
        <w:ind w:firstLine="645"/>
        <w:rPr>
          <w:rFonts w:ascii="仿宋_GB2312" w:eastAsia="仿宋_GB2312"/>
          <w:sz w:val="32"/>
          <w:szCs w:val="32"/>
        </w:rPr>
      </w:pPr>
      <w:r>
        <w:rPr>
          <w:rFonts w:hint="eastAsia" w:ascii="黑体" w:hAnsi="黑体" w:eastAsia="黑体"/>
          <w:sz w:val="32"/>
          <w:szCs w:val="32"/>
        </w:rPr>
        <w:t xml:space="preserve">第十四条 </w:t>
      </w:r>
      <w:r>
        <w:rPr>
          <w:rFonts w:hint="eastAsia" w:ascii="仿宋_GB2312" w:eastAsia="仿宋_GB2312"/>
          <w:sz w:val="32"/>
          <w:szCs w:val="32"/>
        </w:rPr>
        <w:t>本指南自印发之日起施行。</w:t>
      </w:r>
    </w:p>
    <w:p>
      <w:pPr>
        <w:spacing w:line="600" w:lineRule="exact"/>
        <w:ind w:firstLine="645"/>
        <w:rPr>
          <w:rFonts w:ascii="仿宋_GB2312" w:eastAsia="仿宋_GB2312"/>
          <w:sz w:val="32"/>
          <w:szCs w:val="32"/>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MzgzZTQxNjRiZTIwMzk4MDE5MWVlMzAwZGEyNjQifQ=="/>
  </w:docVars>
  <w:rsids>
    <w:rsidRoot w:val="008C2987"/>
    <w:rsid w:val="00002E47"/>
    <w:rsid w:val="0000438B"/>
    <w:rsid w:val="00005F2E"/>
    <w:rsid w:val="00006B11"/>
    <w:rsid w:val="00013DE6"/>
    <w:rsid w:val="0001457E"/>
    <w:rsid w:val="00024F13"/>
    <w:rsid w:val="000354E0"/>
    <w:rsid w:val="000378AA"/>
    <w:rsid w:val="000603D7"/>
    <w:rsid w:val="00062382"/>
    <w:rsid w:val="0006526D"/>
    <w:rsid w:val="00074149"/>
    <w:rsid w:val="00077509"/>
    <w:rsid w:val="000803BE"/>
    <w:rsid w:val="00083214"/>
    <w:rsid w:val="00097A1E"/>
    <w:rsid w:val="000A4F02"/>
    <w:rsid w:val="000A690B"/>
    <w:rsid w:val="000C11F1"/>
    <w:rsid w:val="000D06C8"/>
    <w:rsid w:val="000D0FC1"/>
    <w:rsid w:val="000E744E"/>
    <w:rsid w:val="000E7DC8"/>
    <w:rsid w:val="000F3952"/>
    <w:rsid w:val="000F4902"/>
    <w:rsid w:val="000F4AF0"/>
    <w:rsid w:val="000F6713"/>
    <w:rsid w:val="00100000"/>
    <w:rsid w:val="00104248"/>
    <w:rsid w:val="00122ABA"/>
    <w:rsid w:val="00123579"/>
    <w:rsid w:val="001366C0"/>
    <w:rsid w:val="00137609"/>
    <w:rsid w:val="00137A42"/>
    <w:rsid w:val="00140123"/>
    <w:rsid w:val="001440FA"/>
    <w:rsid w:val="00146312"/>
    <w:rsid w:val="00150859"/>
    <w:rsid w:val="001530F3"/>
    <w:rsid w:val="00167393"/>
    <w:rsid w:val="00167B6D"/>
    <w:rsid w:val="00173B85"/>
    <w:rsid w:val="00174A1C"/>
    <w:rsid w:val="0018687A"/>
    <w:rsid w:val="001A2403"/>
    <w:rsid w:val="001A31EF"/>
    <w:rsid w:val="001B5D22"/>
    <w:rsid w:val="001B7A3B"/>
    <w:rsid w:val="001C3463"/>
    <w:rsid w:val="001C5C2B"/>
    <w:rsid w:val="001D0AD3"/>
    <w:rsid w:val="001D3C12"/>
    <w:rsid w:val="001D7622"/>
    <w:rsid w:val="001F2E38"/>
    <w:rsid w:val="001F34CA"/>
    <w:rsid w:val="00222BB0"/>
    <w:rsid w:val="00227668"/>
    <w:rsid w:val="002352FA"/>
    <w:rsid w:val="00241EED"/>
    <w:rsid w:val="00243730"/>
    <w:rsid w:val="002577A9"/>
    <w:rsid w:val="00261A31"/>
    <w:rsid w:val="0026379B"/>
    <w:rsid w:val="002671E9"/>
    <w:rsid w:val="00271E39"/>
    <w:rsid w:val="00277784"/>
    <w:rsid w:val="00283AC3"/>
    <w:rsid w:val="00285728"/>
    <w:rsid w:val="00287D59"/>
    <w:rsid w:val="0029003C"/>
    <w:rsid w:val="00290045"/>
    <w:rsid w:val="00293781"/>
    <w:rsid w:val="00293DB6"/>
    <w:rsid w:val="00295D23"/>
    <w:rsid w:val="0029671F"/>
    <w:rsid w:val="002969EF"/>
    <w:rsid w:val="002A33DE"/>
    <w:rsid w:val="002A46B2"/>
    <w:rsid w:val="002B09BF"/>
    <w:rsid w:val="002B6762"/>
    <w:rsid w:val="002B6D11"/>
    <w:rsid w:val="002C06B1"/>
    <w:rsid w:val="002D2033"/>
    <w:rsid w:val="002D40AD"/>
    <w:rsid w:val="002E056C"/>
    <w:rsid w:val="002F224D"/>
    <w:rsid w:val="003037FE"/>
    <w:rsid w:val="00307CED"/>
    <w:rsid w:val="003127C7"/>
    <w:rsid w:val="00312EB1"/>
    <w:rsid w:val="00313A04"/>
    <w:rsid w:val="0031797A"/>
    <w:rsid w:val="00324715"/>
    <w:rsid w:val="00324EC2"/>
    <w:rsid w:val="00334B8C"/>
    <w:rsid w:val="0034471F"/>
    <w:rsid w:val="003561E7"/>
    <w:rsid w:val="003648EA"/>
    <w:rsid w:val="00380006"/>
    <w:rsid w:val="003B26F1"/>
    <w:rsid w:val="003B271A"/>
    <w:rsid w:val="003B42A1"/>
    <w:rsid w:val="003C3BE6"/>
    <w:rsid w:val="003D071E"/>
    <w:rsid w:val="003D1447"/>
    <w:rsid w:val="003D79CE"/>
    <w:rsid w:val="003E4D95"/>
    <w:rsid w:val="003E4F22"/>
    <w:rsid w:val="003F0392"/>
    <w:rsid w:val="00411E32"/>
    <w:rsid w:val="00420FFC"/>
    <w:rsid w:val="00421855"/>
    <w:rsid w:val="00426A7A"/>
    <w:rsid w:val="00433C2C"/>
    <w:rsid w:val="004375B5"/>
    <w:rsid w:val="00450EFE"/>
    <w:rsid w:val="004522ED"/>
    <w:rsid w:val="004525EF"/>
    <w:rsid w:val="00454547"/>
    <w:rsid w:val="004631FA"/>
    <w:rsid w:val="00464EE5"/>
    <w:rsid w:val="00465EFF"/>
    <w:rsid w:val="0047207B"/>
    <w:rsid w:val="00472C8A"/>
    <w:rsid w:val="0048589C"/>
    <w:rsid w:val="004865D8"/>
    <w:rsid w:val="004A1D48"/>
    <w:rsid w:val="004A37C3"/>
    <w:rsid w:val="004A4572"/>
    <w:rsid w:val="004A69BD"/>
    <w:rsid w:val="004A6DC9"/>
    <w:rsid w:val="004B4E06"/>
    <w:rsid w:val="004C0F66"/>
    <w:rsid w:val="004C4C26"/>
    <w:rsid w:val="004D0E19"/>
    <w:rsid w:val="004D142F"/>
    <w:rsid w:val="004D5C50"/>
    <w:rsid w:val="004E2668"/>
    <w:rsid w:val="004E68D1"/>
    <w:rsid w:val="00500B42"/>
    <w:rsid w:val="00505F6F"/>
    <w:rsid w:val="00507460"/>
    <w:rsid w:val="00522EA5"/>
    <w:rsid w:val="00535E61"/>
    <w:rsid w:val="00542E4E"/>
    <w:rsid w:val="0054364C"/>
    <w:rsid w:val="0054383D"/>
    <w:rsid w:val="00552BA4"/>
    <w:rsid w:val="005532F7"/>
    <w:rsid w:val="0055333D"/>
    <w:rsid w:val="005661C2"/>
    <w:rsid w:val="00571079"/>
    <w:rsid w:val="00575574"/>
    <w:rsid w:val="0058150F"/>
    <w:rsid w:val="0058422D"/>
    <w:rsid w:val="005908BD"/>
    <w:rsid w:val="005930E5"/>
    <w:rsid w:val="005A0316"/>
    <w:rsid w:val="005A7AD3"/>
    <w:rsid w:val="005C1BDA"/>
    <w:rsid w:val="005C1CA6"/>
    <w:rsid w:val="005C21D1"/>
    <w:rsid w:val="005C3810"/>
    <w:rsid w:val="005D02A0"/>
    <w:rsid w:val="005D2C03"/>
    <w:rsid w:val="005D379C"/>
    <w:rsid w:val="005D4565"/>
    <w:rsid w:val="005E1CC1"/>
    <w:rsid w:val="005F08A0"/>
    <w:rsid w:val="005F3F97"/>
    <w:rsid w:val="00604B71"/>
    <w:rsid w:val="006052DC"/>
    <w:rsid w:val="0060684A"/>
    <w:rsid w:val="00607612"/>
    <w:rsid w:val="006125F2"/>
    <w:rsid w:val="00616918"/>
    <w:rsid w:val="00623552"/>
    <w:rsid w:val="006311BF"/>
    <w:rsid w:val="0064198F"/>
    <w:rsid w:val="00650F8B"/>
    <w:rsid w:val="00651D7A"/>
    <w:rsid w:val="00653709"/>
    <w:rsid w:val="00653886"/>
    <w:rsid w:val="00653A36"/>
    <w:rsid w:val="00661E2A"/>
    <w:rsid w:val="006762D1"/>
    <w:rsid w:val="0068628D"/>
    <w:rsid w:val="00694FD4"/>
    <w:rsid w:val="006950FA"/>
    <w:rsid w:val="0069651F"/>
    <w:rsid w:val="006A3084"/>
    <w:rsid w:val="006A6C74"/>
    <w:rsid w:val="006B00D1"/>
    <w:rsid w:val="006B09F0"/>
    <w:rsid w:val="006B2042"/>
    <w:rsid w:val="006B44E8"/>
    <w:rsid w:val="006B728D"/>
    <w:rsid w:val="006C4BC1"/>
    <w:rsid w:val="006C5B28"/>
    <w:rsid w:val="006C67FF"/>
    <w:rsid w:val="006D285B"/>
    <w:rsid w:val="006D2A46"/>
    <w:rsid w:val="006D48B9"/>
    <w:rsid w:val="006E4A80"/>
    <w:rsid w:val="006E4D44"/>
    <w:rsid w:val="006F237B"/>
    <w:rsid w:val="006F5710"/>
    <w:rsid w:val="006F6962"/>
    <w:rsid w:val="00701960"/>
    <w:rsid w:val="007031C5"/>
    <w:rsid w:val="00714441"/>
    <w:rsid w:val="00716CAB"/>
    <w:rsid w:val="007210DC"/>
    <w:rsid w:val="0072516A"/>
    <w:rsid w:val="007322EE"/>
    <w:rsid w:val="007324B2"/>
    <w:rsid w:val="007404AF"/>
    <w:rsid w:val="00751BDC"/>
    <w:rsid w:val="00752DBC"/>
    <w:rsid w:val="0076309F"/>
    <w:rsid w:val="00783C1F"/>
    <w:rsid w:val="00787F3B"/>
    <w:rsid w:val="00793C96"/>
    <w:rsid w:val="00795C84"/>
    <w:rsid w:val="007A1952"/>
    <w:rsid w:val="007A23DA"/>
    <w:rsid w:val="007A578C"/>
    <w:rsid w:val="007C22D1"/>
    <w:rsid w:val="007C6815"/>
    <w:rsid w:val="007D1800"/>
    <w:rsid w:val="007D246A"/>
    <w:rsid w:val="007D2A66"/>
    <w:rsid w:val="007D4A70"/>
    <w:rsid w:val="007E5496"/>
    <w:rsid w:val="007E5ECF"/>
    <w:rsid w:val="00800242"/>
    <w:rsid w:val="00801570"/>
    <w:rsid w:val="008077C8"/>
    <w:rsid w:val="00815EC6"/>
    <w:rsid w:val="0082331C"/>
    <w:rsid w:val="008333D7"/>
    <w:rsid w:val="00842141"/>
    <w:rsid w:val="00842AA2"/>
    <w:rsid w:val="0084377C"/>
    <w:rsid w:val="00844F2A"/>
    <w:rsid w:val="00845B6B"/>
    <w:rsid w:val="008479D0"/>
    <w:rsid w:val="008639F9"/>
    <w:rsid w:val="0086494E"/>
    <w:rsid w:val="00864CD1"/>
    <w:rsid w:val="00866048"/>
    <w:rsid w:val="0088157B"/>
    <w:rsid w:val="00882E47"/>
    <w:rsid w:val="0088522E"/>
    <w:rsid w:val="00891DF3"/>
    <w:rsid w:val="008A63FE"/>
    <w:rsid w:val="008A79A0"/>
    <w:rsid w:val="008B190E"/>
    <w:rsid w:val="008C2987"/>
    <w:rsid w:val="008D20E4"/>
    <w:rsid w:val="008D43E6"/>
    <w:rsid w:val="008E223D"/>
    <w:rsid w:val="008E6383"/>
    <w:rsid w:val="008E7035"/>
    <w:rsid w:val="008F79A2"/>
    <w:rsid w:val="0091099B"/>
    <w:rsid w:val="00917EFD"/>
    <w:rsid w:val="00924EC1"/>
    <w:rsid w:val="00926BE2"/>
    <w:rsid w:val="009318C3"/>
    <w:rsid w:val="0093293E"/>
    <w:rsid w:val="00933914"/>
    <w:rsid w:val="00937320"/>
    <w:rsid w:val="00940FB2"/>
    <w:rsid w:val="0094298F"/>
    <w:rsid w:val="009433D5"/>
    <w:rsid w:val="00953E98"/>
    <w:rsid w:val="00956B8C"/>
    <w:rsid w:val="00961636"/>
    <w:rsid w:val="0096186B"/>
    <w:rsid w:val="00965E59"/>
    <w:rsid w:val="00974BCF"/>
    <w:rsid w:val="00984441"/>
    <w:rsid w:val="009846FE"/>
    <w:rsid w:val="00990CEE"/>
    <w:rsid w:val="00992556"/>
    <w:rsid w:val="00997F7D"/>
    <w:rsid w:val="009A54AA"/>
    <w:rsid w:val="009A58CF"/>
    <w:rsid w:val="009A70E4"/>
    <w:rsid w:val="009B4680"/>
    <w:rsid w:val="009B6D6A"/>
    <w:rsid w:val="009C3411"/>
    <w:rsid w:val="009C4E95"/>
    <w:rsid w:val="009D5637"/>
    <w:rsid w:val="009E7539"/>
    <w:rsid w:val="009F2EF9"/>
    <w:rsid w:val="009F41FF"/>
    <w:rsid w:val="00A022F3"/>
    <w:rsid w:val="00A07049"/>
    <w:rsid w:val="00A07767"/>
    <w:rsid w:val="00A12CEF"/>
    <w:rsid w:val="00A175AA"/>
    <w:rsid w:val="00A2147C"/>
    <w:rsid w:val="00A21979"/>
    <w:rsid w:val="00A24157"/>
    <w:rsid w:val="00A40066"/>
    <w:rsid w:val="00A56E0C"/>
    <w:rsid w:val="00A575CF"/>
    <w:rsid w:val="00A6672B"/>
    <w:rsid w:val="00A726E2"/>
    <w:rsid w:val="00A8624B"/>
    <w:rsid w:val="00A919C1"/>
    <w:rsid w:val="00A953CC"/>
    <w:rsid w:val="00A9677E"/>
    <w:rsid w:val="00AA2210"/>
    <w:rsid w:val="00AA60EA"/>
    <w:rsid w:val="00AA63AE"/>
    <w:rsid w:val="00AA6B11"/>
    <w:rsid w:val="00AA7A2F"/>
    <w:rsid w:val="00AB19C2"/>
    <w:rsid w:val="00AB1F33"/>
    <w:rsid w:val="00AB6F70"/>
    <w:rsid w:val="00AE7998"/>
    <w:rsid w:val="00AF5D51"/>
    <w:rsid w:val="00B00034"/>
    <w:rsid w:val="00B05D1E"/>
    <w:rsid w:val="00B06F21"/>
    <w:rsid w:val="00B112E6"/>
    <w:rsid w:val="00B1614E"/>
    <w:rsid w:val="00B223FD"/>
    <w:rsid w:val="00B26CB5"/>
    <w:rsid w:val="00B27C77"/>
    <w:rsid w:val="00B351DA"/>
    <w:rsid w:val="00B35275"/>
    <w:rsid w:val="00B3778A"/>
    <w:rsid w:val="00B40B7C"/>
    <w:rsid w:val="00B535BB"/>
    <w:rsid w:val="00B75778"/>
    <w:rsid w:val="00B83D99"/>
    <w:rsid w:val="00B84385"/>
    <w:rsid w:val="00B8778E"/>
    <w:rsid w:val="00B969F0"/>
    <w:rsid w:val="00BB0B70"/>
    <w:rsid w:val="00BB16FC"/>
    <w:rsid w:val="00BB2991"/>
    <w:rsid w:val="00BB64D6"/>
    <w:rsid w:val="00BB695C"/>
    <w:rsid w:val="00BC63DA"/>
    <w:rsid w:val="00BD3F8F"/>
    <w:rsid w:val="00BD7F59"/>
    <w:rsid w:val="00BE5ED8"/>
    <w:rsid w:val="00BE5F86"/>
    <w:rsid w:val="00BF51E3"/>
    <w:rsid w:val="00C05CBD"/>
    <w:rsid w:val="00C07259"/>
    <w:rsid w:val="00C1270F"/>
    <w:rsid w:val="00C2258F"/>
    <w:rsid w:val="00C314D7"/>
    <w:rsid w:val="00C327B4"/>
    <w:rsid w:val="00C344DF"/>
    <w:rsid w:val="00C422A4"/>
    <w:rsid w:val="00C4591F"/>
    <w:rsid w:val="00C51488"/>
    <w:rsid w:val="00C5168C"/>
    <w:rsid w:val="00C54DF1"/>
    <w:rsid w:val="00C55324"/>
    <w:rsid w:val="00C77341"/>
    <w:rsid w:val="00C82228"/>
    <w:rsid w:val="00C91A7F"/>
    <w:rsid w:val="00C9611C"/>
    <w:rsid w:val="00C96310"/>
    <w:rsid w:val="00CA0758"/>
    <w:rsid w:val="00CA1D9E"/>
    <w:rsid w:val="00CA58A5"/>
    <w:rsid w:val="00CA7DAB"/>
    <w:rsid w:val="00CC0166"/>
    <w:rsid w:val="00CC1A67"/>
    <w:rsid w:val="00CD23DB"/>
    <w:rsid w:val="00CD3118"/>
    <w:rsid w:val="00CD39EE"/>
    <w:rsid w:val="00CD7E64"/>
    <w:rsid w:val="00CE1884"/>
    <w:rsid w:val="00CE22AA"/>
    <w:rsid w:val="00CE2537"/>
    <w:rsid w:val="00CE3A2C"/>
    <w:rsid w:val="00CE461E"/>
    <w:rsid w:val="00CF15FE"/>
    <w:rsid w:val="00CF3A5B"/>
    <w:rsid w:val="00D020EF"/>
    <w:rsid w:val="00D32637"/>
    <w:rsid w:val="00D4508E"/>
    <w:rsid w:val="00D5279E"/>
    <w:rsid w:val="00D529FE"/>
    <w:rsid w:val="00D52C07"/>
    <w:rsid w:val="00D56857"/>
    <w:rsid w:val="00D60790"/>
    <w:rsid w:val="00D6187F"/>
    <w:rsid w:val="00D678BD"/>
    <w:rsid w:val="00D7040B"/>
    <w:rsid w:val="00D7426A"/>
    <w:rsid w:val="00D74D53"/>
    <w:rsid w:val="00D80ADB"/>
    <w:rsid w:val="00D8690B"/>
    <w:rsid w:val="00D94F82"/>
    <w:rsid w:val="00DA2849"/>
    <w:rsid w:val="00DA2AE8"/>
    <w:rsid w:val="00DA4D52"/>
    <w:rsid w:val="00DA6209"/>
    <w:rsid w:val="00DA7CE0"/>
    <w:rsid w:val="00DB413F"/>
    <w:rsid w:val="00DB59D8"/>
    <w:rsid w:val="00DB72F1"/>
    <w:rsid w:val="00DB73E7"/>
    <w:rsid w:val="00DC161A"/>
    <w:rsid w:val="00DC5B1B"/>
    <w:rsid w:val="00DC5F2F"/>
    <w:rsid w:val="00DD78B0"/>
    <w:rsid w:val="00DE7A0A"/>
    <w:rsid w:val="00DF17CB"/>
    <w:rsid w:val="00E005C0"/>
    <w:rsid w:val="00E032A0"/>
    <w:rsid w:val="00E162E8"/>
    <w:rsid w:val="00E203DF"/>
    <w:rsid w:val="00E22764"/>
    <w:rsid w:val="00E31080"/>
    <w:rsid w:val="00E326B4"/>
    <w:rsid w:val="00E34B00"/>
    <w:rsid w:val="00E35E0B"/>
    <w:rsid w:val="00E648D3"/>
    <w:rsid w:val="00E6782E"/>
    <w:rsid w:val="00E67DCA"/>
    <w:rsid w:val="00E705A3"/>
    <w:rsid w:val="00E75416"/>
    <w:rsid w:val="00E77847"/>
    <w:rsid w:val="00E8261C"/>
    <w:rsid w:val="00E91573"/>
    <w:rsid w:val="00E927C3"/>
    <w:rsid w:val="00EA39D5"/>
    <w:rsid w:val="00EB7EFC"/>
    <w:rsid w:val="00EC21FE"/>
    <w:rsid w:val="00EC625C"/>
    <w:rsid w:val="00EC65D3"/>
    <w:rsid w:val="00ED14D2"/>
    <w:rsid w:val="00ED1C0F"/>
    <w:rsid w:val="00ED3D6E"/>
    <w:rsid w:val="00EE2118"/>
    <w:rsid w:val="00EF434C"/>
    <w:rsid w:val="00EF570B"/>
    <w:rsid w:val="00EF7823"/>
    <w:rsid w:val="00F01C43"/>
    <w:rsid w:val="00F02C48"/>
    <w:rsid w:val="00F06150"/>
    <w:rsid w:val="00F0687B"/>
    <w:rsid w:val="00F0755A"/>
    <w:rsid w:val="00F17531"/>
    <w:rsid w:val="00F25209"/>
    <w:rsid w:val="00F32A2D"/>
    <w:rsid w:val="00F32E3E"/>
    <w:rsid w:val="00F36BA0"/>
    <w:rsid w:val="00F66032"/>
    <w:rsid w:val="00F66E04"/>
    <w:rsid w:val="00F81CE3"/>
    <w:rsid w:val="00F82779"/>
    <w:rsid w:val="00F8517A"/>
    <w:rsid w:val="00F908F6"/>
    <w:rsid w:val="00FA12B9"/>
    <w:rsid w:val="00FA3E30"/>
    <w:rsid w:val="00FA41DA"/>
    <w:rsid w:val="00FA7FCB"/>
    <w:rsid w:val="00FB5433"/>
    <w:rsid w:val="00FC07FD"/>
    <w:rsid w:val="00FC095D"/>
    <w:rsid w:val="00FC3DB9"/>
    <w:rsid w:val="00FC5A83"/>
    <w:rsid w:val="00FD23FC"/>
    <w:rsid w:val="00FD4826"/>
    <w:rsid w:val="00FD6758"/>
    <w:rsid w:val="00FE2A3A"/>
    <w:rsid w:val="00FE6541"/>
    <w:rsid w:val="00FF25D1"/>
    <w:rsid w:val="00FF45BB"/>
    <w:rsid w:val="00FF5185"/>
    <w:rsid w:val="00FF7507"/>
    <w:rsid w:val="00FF7AC9"/>
    <w:rsid w:val="06A502E5"/>
    <w:rsid w:val="07987B4D"/>
    <w:rsid w:val="0A584077"/>
    <w:rsid w:val="0EEC3AC0"/>
    <w:rsid w:val="0F9E7EA5"/>
    <w:rsid w:val="103C1292"/>
    <w:rsid w:val="10804FBF"/>
    <w:rsid w:val="13E46DFB"/>
    <w:rsid w:val="15C75127"/>
    <w:rsid w:val="17FC106A"/>
    <w:rsid w:val="1945259C"/>
    <w:rsid w:val="19DE56B0"/>
    <w:rsid w:val="1AD43BE8"/>
    <w:rsid w:val="1B1D4B76"/>
    <w:rsid w:val="1BF8E4CD"/>
    <w:rsid w:val="1E816CE3"/>
    <w:rsid w:val="20D24DCC"/>
    <w:rsid w:val="21C518C2"/>
    <w:rsid w:val="228F2EAD"/>
    <w:rsid w:val="24167DA7"/>
    <w:rsid w:val="245D6BAA"/>
    <w:rsid w:val="26E464E0"/>
    <w:rsid w:val="29270BDD"/>
    <w:rsid w:val="29554FD4"/>
    <w:rsid w:val="297C0902"/>
    <w:rsid w:val="2A7D3809"/>
    <w:rsid w:val="2E347E98"/>
    <w:rsid w:val="31F66071"/>
    <w:rsid w:val="33765F9D"/>
    <w:rsid w:val="343F5288"/>
    <w:rsid w:val="36B023A4"/>
    <w:rsid w:val="36EB3C58"/>
    <w:rsid w:val="390C1D4B"/>
    <w:rsid w:val="3A000F50"/>
    <w:rsid w:val="3F9B5FD2"/>
    <w:rsid w:val="3FE129C6"/>
    <w:rsid w:val="4267647A"/>
    <w:rsid w:val="457A0071"/>
    <w:rsid w:val="48CB3FCE"/>
    <w:rsid w:val="4A2C435B"/>
    <w:rsid w:val="4B380B33"/>
    <w:rsid w:val="4D35292C"/>
    <w:rsid w:val="4F581B73"/>
    <w:rsid w:val="51C235C9"/>
    <w:rsid w:val="54B67500"/>
    <w:rsid w:val="55E36691"/>
    <w:rsid w:val="57DB54BA"/>
    <w:rsid w:val="5AE30AA9"/>
    <w:rsid w:val="5BF96504"/>
    <w:rsid w:val="5D8800D4"/>
    <w:rsid w:val="5EA55FE9"/>
    <w:rsid w:val="5EDC46B2"/>
    <w:rsid w:val="637E2E7E"/>
    <w:rsid w:val="64C17A1D"/>
    <w:rsid w:val="6A65793E"/>
    <w:rsid w:val="6E4D51BF"/>
    <w:rsid w:val="6F7E1F53"/>
    <w:rsid w:val="706B2F08"/>
    <w:rsid w:val="706D5C96"/>
    <w:rsid w:val="73D86D3D"/>
    <w:rsid w:val="768F59D1"/>
    <w:rsid w:val="76FD7881"/>
    <w:rsid w:val="775A6197"/>
    <w:rsid w:val="7C9B5DD6"/>
    <w:rsid w:val="7DB482A3"/>
    <w:rsid w:val="7EFD180C"/>
    <w:rsid w:val="7F0569E9"/>
    <w:rsid w:val="7F4B321E"/>
    <w:rsid w:val="7F712788"/>
    <w:rsid w:val="7F884BB7"/>
    <w:rsid w:val="7FCF86BD"/>
    <w:rsid w:val="AFC5E614"/>
    <w:rsid w:val="BEF7F051"/>
    <w:rsid w:val="D3FEA95E"/>
    <w:rsid w:val="EFEF5A74"/>
    <w:rsid w:val="FADAA429"/>
    <w:rsid w:val="FF7FBD21"/>
    <w:rsid w:val="FFDFA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99"/>
    <w:pPr>
      <w:spacing w:line="500" w:lineRule="exact"/>
      <w:ind w:firstLine="420"/>
    </w:pPr>
    <w:rPr>
      <w:sz w:val="28"/>
    </w:rPr>
  </w:style>
  <w:style w:type="paragraph" w:styleId="3">
    <w:name w:val="Body Text"/>
    <w:basedOn w:val="1"/>
    <w:qFormat/>
    <w:uiPriority w:val="99"/>
    <w:pPr>
      <w:spacing w:after="12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0">
    <w:name w:val="默认段落字体 Para Char"/>
    <w:basedOn w:val="1"/>
    <w:qFormat/>
    <w:uiPriority w:val="0"/>
    <w:pPr>
      <w:adjustRightInd w:val="0"/>
      <w:spacing w:line="360" w:lineRule="auto"/>
    </w:pPr>
    <w:rPr>
      <w:rFonts w:ascii="Times New Roman" w:hAnsi="Times New Roman" w:eastAsia="仿宋_GB2312" w:cs="Times New Roman"/>
      <w:kern w:val="0"/>
      <w:sz w:val="30"/>
      <w:szCs w:val="30"/>
    </w:rPr>
  </w:style>
  <w:style w:type="paragraph" w:styleId="11">
    <w:name w:val="List Paragraph"/>
    <w:basedOn w:val="1"/>
    <w:qFormat/>
    <w:uiPriority w:val="34"/>
    <w:pPr>
      <w:ind w:firstLine="420" w:firstLineChars="200"/>
    </w:p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qFormat/>
    <w:uiPriority w:val="99"/>
    <w:rPr>
      <w:sz w:val="18"/>
      <w:szCs w:val="18"/>
    </w:rPr>
  </w:style>
  <w:style w:type="character" w:customStyle="1" w:styleId="15">
    <w:name w:val="fontstyle01"/>
    <w:basedOn w:val="9"/>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2781</Words>
  <Characters>2796</Characters>
  <Lines>20</Lines>
  <Paragraphs>5</Paragraphs>
  <TotalTime>36</TotalTime>
  <ScaleCrop>false</ScaleCrop>
  <LinksUpToDate>false</LinksUpToDate>
  <CharactersWithSpaces>2815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2022-11-21T01:13:00Z</dcterms:created>
  <dc:creator>王雨琦</dc:creator>
  <cp:lastModifiedBy>王雨琦</cp:lastModifiedBy>
  <cp:lastPrinted>2021-12-18T00:24:00Z</cp:lastPrinted>
  <dcterms:modified xsi:type="dcterms:W3CDTF">2022-11-21T07:00:48Z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0C5D8653941645ABB07401A5B01B2175</vt:lpwstr>
  </property>
</Properties>
</file>